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EC74F" w14:textId="77777777" w:rsidR="006C60B9" w:rsidRDefault="00797219">
      <w:p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Trh s ojetinami dál přeje kupujícím. U osmi z deseti nejžádanějších modelů klesly ceny</w:t>
      </w:r>
    </w:p>
    <w:p w14:paraId="5410F0AC" w14:textId="267EB682" w:rsidR="006C60B9" w:rsidRDefault="00797219">
      <w:p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rPr>
          <w:b/>
          <w:bCs/>
          <w:color w:val="000000"/>
        </w:rPr>
      </w:pPr>
      <w:r w:rsidRPr="00D62DEE">
        <w:rPr>
          <w:b/>
          <w:bCs/>
        </w:rPr>
        <w:t xml:space="preserve">Praha, </w:t>
      </w:r>
      <w:r w:rsidR="00D62DEE" w:rsidRPr="00D62DEE">
        <w:rPr>
          <w:b/>
          <w:bCs/>
        </w:rPr>
        <w:t>23</w:t>
      </w:r>
      <w:r w:rsidRPr="00D62DEE">
        <w:rPr>
          <w:b/>
          <w:bCs/>
        </w:rPr>
        <w:t xml:space="preserve">. září 2026 </w:t>
      </w:r>
      <w:r>
        <w:rPr>
          <w:b/>
          <w:bCs/>
          <w:color w:val="000000"/>
        </w:rPr>
        <w:t xml:space="preserve">– Široká nabídka a pokračující pokles cen dál vytvářejí příznivé podmínky pro nákup ojetého vozu a </w:t>
      </w:r>
      <w:proofErr w:type="spellStart"/>
      <w:r>
        <w:rPr>
          <w:b/>
          <w:bCs/>
          <w:color w:val="000000"/>
        </w:rPr>
        <w:t>TipCars</w:t>
      </w:r>
      <w:proofErr w:type="spellEnd"/>
      <w:r>
        <w:rPr>
          <w:b/>
          <w:bCs/>
          <w:color w:val="000000"/>
        </w:rPr>
        <w:t xml:space="preserve"> Index se v srpnu dostal na nové historické minimum. Deset nejvyhledávanějších modelů bylo na portálu </w:t>
      </w:r>
      <w:proofErr w:type="spellStart"/>
      <w:r>
        <w:rPr>
          <w:b/>
          <w:bCs/>
          <w:color w:val="000000"/>
        </w:rPr>
        <w:t>TipCars</w:t>
      </w:r>
      <w:proofErr w:type="spellEnd"/>
      <w:r>
        <w:rPr>
          <w:b/>
          <w:bCs/>
          <w:color w:val="000000"/>
        </w:rPr>
        <w:t xml:space="preserve"> zastoupeno více než 20 000 vozy. Výrazné rozdíly ukazuje také regionální srovnání elektromobilů – zatímco v Praze tvoří více než 17 % nabídky, v Ústeckém kraji jejich podíl nedosahuje ani jednoho procenta.</w:t>
      </w:r>
    </w:p>
    <w:p w14:paraId="28EDE18F" w14:textId="22F4D4DA" w:rsidR="006C60B9" w:rsidRDefault="00797219">
      <w:p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rPr>
          <w:color w:val="000000"/>
        </w:rPr>
      </w:pPr>
      <w:proofErr w:type="spellStart"/>
      <w:r>
        <w:rPr>
          <w:color w:val="000000"/>
        </w:rPr>
        <w:t>TipCars</w:t>
      </w:r>
      <w:proofErr w:type="spellEnd"/>
      <w:r>
        <w:rPr>
          <w:color w:val="000000"/>
        </w:rPr>
        <w:t xml:space="preserve"> Index, který sleduje nabídku deseti nejvyhledávanějších modelů na po</w:t>
      </w:r>
      <w:r>
        <w:t>rtálu, již třetí měsíc v řadě přepsal své historické minimum, když se meziměsíčně snížil o 33 bodů na hodnotu 806,7 bodu</w:t>
      </w:r>
      <w:r>
        <w:rPr>
          <w:color w:val="000000"/>
        </w:rPr>
        <w:t xml:space="preserve">. </w:t>
      </w:r>
      <w:r>
        <w:rPr>
          <w:i/>
          <w:iCs/>
          <w:color w:val="000000"/>
        </w:rPr>
        <w:t>„Index se tak postupně přibližuje k pomyslné hranici 800 bodů. Ve srovnání s historickým maximem 1 456 bodů z května 2022 jde o opravdu výrazný rozdíl. Pokles, který sledujeme v posledních měsících, souvisí především s nižší aktivitou kupujících. Vozů je na trhu dostatek, a kupující si tak mohou více vybírat a zároveň těžit z</w:t>
      </w:r>
      <w:r w:rsidR="00A93C85">
        <w:rPr>
          <w:i/>
          <w:iCs/>
          <w:color w:val="000000"/>
        </w:rPr>
        <w:t> </w:t>
      </w:r>
      <w:r>
        <w:rPr>
          <w:i/>
          <w:iCs/>
          <w:color w:val="000000"/>
        </w:rPr>
        <w:t>příznivějších cen. Současná situace proto vytváří velmi dobré podmínky pro nákup ojetého vozu,“</w:t>
      </w:r>
      <w:r>
        <w:rPr>
          <w:color w:val="000000"/>
        </w:rPr>
        <w:t xml:space="preserve"> komentuje </w:t>
      </w:r>
      <w:r>
        <w:rPr>
          <w:b/>
          <w:bCs/>
          <w:color w:val="000000"/>
        </w:rPr>
        <w:t xml:space="preserve">Marek </w:t>
      </w:r>
      <w:proofErr w:type="spellStart"/>
      <w:r>
        <w:rPr>
          <w:b/>
          <w:bCs/>
          <w:color w:val="000000"/>
        </w:rPr>
        <w:t>Knieža</w:t>
      </w:r>
      <w:proofErr w:type="spellEnd"/>
      <w:r>
        <w:rPr>
          <w:b/>
          <w:bCs/>
          <w:color w:val="000000"/>
        </w:rPr>
        <w:t xml:space="preserve">, ředitel </w:t>
      </w:r>
      <w:proofErr w:type="spellStart"/>
      <w:r>
        <w:rPr>
          <w:b/>
          <w:bCs/>
          <w:color w:val="000000"/>
        </w:rPr>
        <w:t>TipCars</w:t>
      </w:r>
      <w:proofErr w:type="spellEnd"/>
      <w:r>
        <w:rPr>
          <w:color w:val="000000"/>
        </w:rPr>
        <w:t>.</w:t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6F92986C" wp14:editId="65EE6509">
            <wp:simplePos x="0" y="0"/>
            <wp:positionH relativeFrom="column">
              <wp:posOffset>-634</wp:posOffset>
            </wp:positionH>
            <wp:positionV relativeFrom="paragraph">
              <wp:posOffset>49530</wp:posOffset>
            </wp:positionV>
            <wp:extent cx="2842260" cy="1592580"/>
            <wp:effectExtent l="0" t="0" r="0" b="0"/>
            <wp:wrapSquare wrapText="bothSides" distT="0" distB="0" distL="114300" distR="114300"/>
            <wp:docPr id="1521404810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42260" cy="15925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8F2F414" w14:textId="77777777" w:rsidR="006C60B9" w:rsidRDefault="00797219">
      <w:r>
        <w:t xml:space="preserve">Ceny osmi z deseti sledovaných modelů meziměsíčně klesly, u dvou naopak mírně vzrostly. Zlevňování se v srpnu projevilo napříč téměř celou sledovanou nabídkou. Průměrná cena všech deseti modelů se navíc dostala na nejnižší hodnotu za celé období sledování </w:t>
      </w:r>
      <w:proofErr w:type="spellStart"/>
      <w:r>
        <w:t>TipCars</w:t>
      </w:r>
      <w:proofErr w:type="spellEnd"/>
      <w:r>
        <w:t xml:space="preserve"> Indexu. </w:t>
      </w:r>
    </w:p>
    <w:p w14:paraId="2B8A87E5" w14:textId="77777777" w:rsidR="006C60B9" w:rsidRDefault="00797219">
      <w:r>
        <w:t>K nižším cenám se jako další faktor poklesu hodnoty Indexu přidala rostoucí nabídka. V srpnu bylo inzerováno celkem 20 397 sledovaných ojetin, přičemž u sedmi z deseti modelů jejich počet meziměsíčně vzrostl. U dvou modelů nabídka klesla a v případě Mercedesu E-</w:t>
      </w:r>
      <w:proofErr w:type="spellStart"/>
      <w:r>
        <w:t>Class</w:t>
      </w:r>
      <w:proofErr w:type="spellEnd"/>
      <w:r>
        <w:t xml:space="preserve"> zůstala beze změny. Rekordní počet inzerátů zaznamenaly Škoda Octavia, Superb a Kodiaq, které dohromady tvořily více než polovinu nabídky deseti nejvyhledávanějších modelů.</w:t>
      </w:r>
    </w:p>
    <w:p w14:paraId="7C8C33DB" w14:textId="77777777" w:rsidR="006C60B9" w:rsidRDefault="00797219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Praha vede v nabídce elektromobilů i počtu dobíjecích bodů</w:t>
      </w:r>
    </w:p>
    <w:p w14:paraId="29AE4655" w14:textId="77777777" w:rsidR="006C60B9" w:rsidRDefault="00797219">
      <w:r>
        <w:t xml:space="preserve">Vedle vývoje cen a nabídky tradičně sledovaných modelů se aktuální vydání </w:t>
      </w:r>
      <w:proofErr w:type="spellStart"/>
      <w:r>
        <w:t>TipCars</w:t>
      </w:r>
      <w:proofErr w:type="spellEnd"/>
      <w:r>
        <w:t xml:space="preserve"> Indexu podrobněji zaměřilo také na jednu z nejrychleji se vyvíjející částí trhu – elektromobily. Tentokrát z pohledu jednotlivých krajů a dostupnosti dobíjecí infrastruktury.</w:t>
      </w:r>
    </w:p>
    <w:p w14:paraId="1DCCE267" w14:textId="77777777" w:rsidR="006C60B9" w:rsidRDefault="00797219">
      <w:r>
        <w:t xml:space="preserve">Jednoznačně vede Praha, kde elektromobily tvoří 17,33 % nabídky. Metropole má současně s výrazným náskokem nejrozvinutější dobíjecí infrastrukturu – k 30. červnu 2026 zde bylo podle </w:t>
      </w:r>
      <w:hyperlink r:id="rId8">
        <w:r w:rsidR="006C60B9">
          <w:rPr>
            <w:color w:val="F15B4F"/>
            <w:u w:val="single"/>
          </w:rPr>
          <w:t>Čisté dopravy</w:t>
        </w:r>
      </w:hyperlink>
      <w:r>
        <w:t xml:space="preserve"> evidováno 1 580 dobíjecích bodů (24,7 % z celkového počtu 6 410 v republice). Podobný obraz nabízejí také Středočeský a Jihomoravský kraj, které následují Prahu v obou sledovaných ukazatelích.</w:t>
      </w:r>
    </w:p>
    <w:p w14:paraId="581653BF" w14:textId="083181F7" w:rsidR="006C60B9" w:rsidRDefault="00797219">
      <w:r>
        <w:rPr>
          <w:i/>
          <w:iCs/>
        </w:rPr>
        <w:lastRenderedPageBreak/>
        <w:t>„Ve Středočeském kraji tvoří elektromobily 12,66 % nabídky a řidiči zde mají k dispozici 889 dobíjecích bodů (13,9 %). V Jihomoravském kraji je jejich podíl téměř totožný, 12,6 %, a</w:t>
      </w:r>
      <w:r w:rsidR="00A93C85">
        <w:rPr>
          <w:i/>
          <w:iCs/>
        </w:rPr>
        <w:t> </w:t>
      </w:r>
      <w:r>
        <w:rPr>
          <w:i/>
          <w:iCs/>
        </w:rPr>
        <w:t>nachází se zde 708 dobíjecích bodů (11 %). Regionální data ale zároveň ukazují, že tento vztah neplatí všude stejně,“</w:t>
      </w:r>
      <w:r>
        <w:t xml:space="preserve"> komentuje </w:t>
      </w:r>
      <w:r>
        <w:rPr>
          <w:b/>
          <w:bCs/>
        </w:rPr>
        <w:t xml:space="preserve">Marek </w:t>
      </w:r>
      <w:proofErr w:type="spellStart"/>
      <w:r>
        <w:rPr>
          <w:b/>
          <w:bCs/>
        </w:rPr>
        <w:t>Knieža</w:t>
      </w:r>
      <w:proofErr w:type="spellEnd"/>
      <w:r>
        <w:t>.</w:t>
      </w:r>
    </w:p>
    <w:p w14:paraId="6B97A76B" w14:textId="77777777" w:rsidR="006C60B9" w:rsidRDefault="00797219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Více dobíjecích bodů automaticky neznamená vyšší podíl elektromobilů</w:t>
      </w:r>
    </w:p>
    <w:p w14:paraId="33FE9654" w14:textId="77777777" w:rsidR="006C60B9" w:rsidRDefault="00797219">
      <w:r>
        <w:t>Při pohledu na další regiony už ale souvislost mezi zastoupením elektromobilů a rozsahem dobíjecí infrastruktury není tak jednoznačná. Výrazným příkladem je Moravskoslezský kraj. Se 483 dobíjecími body (7,5 %) má čtvrtou nejrozvinutější dobíjecí infrastrukturu v Česku, elektromobily však tvoří pouze 5,47 % zdejší nabídky, což kraj řadí na sedmé místo. Karlovarský kraj má naopak nejméně dobíjecích bodů ze všech krajů, celkem 151</w:t>
      </w:r>
      <w:r>
        <w:rPr>
          <w:i/>
          <w:iCs/>
        </w:rPr>
        <w:t xml:space="preserve"> (2,4 %)</w:t>
      </w:r>
      <w:r>
        <w:t>, přesto zde elektromobily představují 4,14 % nabídky a region se v tomto ukazateli umístil na deváté příčce.</w:t>
      </w:r>
    </w:p>
    <w:p w14:paraId="48D9E211" w14:textId="77777777" w:rsidR="006C60B9" w:rsidRDefault="00797219">
      <w:r>
        <w:t xml:space="preserve">Ještě výraznější rozdíl je patrný v Ústeckém kraji. Elektromobily zde tvoří méně než jedno procento nabídky, a jejich zastoupení je tak nejnižší v celém Česku. Řidiči přitom mají k dispozici 355 dobíjecích bodů (5,5 %), což je sedmý nejvyšší počet mezi kraji. </w:t>
      </w:r>
      <w:r>
        <w:rPr>
          <w:i/>
          <w:iCs/>
        </w:rPr>
        <w:t>„Regionální data tak ukazují, že samotný počet dobíjecích bodů automaticky neznamená vyšší zastoupení elektromobilů v nabídce. Do regionálních rozdílů se zjevně promítají i další faktory,“</w:t>
      </w:r>
      <w:r>
        <w:t xml:space="preserve"> hodnotí </w:t>
      </w:r>
      <w:r>
        <w:rPr>
          <w:b/>
          <w:bCs/>
        </w:rPr>
        <w:t xml:space="preserve">Marek </w:t>
      </w:r>
      <w:proofErr w:type="spellStart"/>
      <w:r>
        <w:rPr>
          <w:b/>
          <w:bCs/>
        </w:rPr>
        <w:t>Knieža</w:t>
      </w:r>
      <w:proofErr w:type="spellEnd"/>
      <w:r>
        <w:t>.</w:t>
      </w:r>
    </w:p>
    <w:p w14:paraId="69C27FF0" w14:textId="77777777" w:rsidR="006C60B9" w:rsidRDefault="00797219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Nejmladší elektromobily nabízí Královéhradecký kraj, nejlevnější Ústecký</w:t>
      </w:r>
    </w:p>
    <w:p w14:paraId="65B30B41" w14:textId="77777777" w:rsidR="006C60B9" w:rsidRDefault="00797219">
      <w:r>
        <w:t>Rozdíly mezi kraji se netýkají pouze zastoupení elektromobilů, ale také jejich ceny a stáří. Nejmladší nabídku má Královéhradecký kraj, kde medián stáří elektromobilů dosahuje pouhého jednoho roku. Tomu odpovídá i vyšší cenová hladina – medián ceny zde činí 1 111 900 Kč. Ještě dražší elektromobily nabízí Jihomoravský kraj, který s mediánovou cenou 1 179 000 Kč stojí mezi všemi regiony nejvýše.</w:t>
      </w:r>
    </w:p>
    <w:p w14:paraId="157F9699" w14:textId="6E539747" w:rsidR="006C60B9" w:rsidRDefault="00797219">
      <w:r>
        <w:t>Na opačném konci cenového srovnání je Ústecký kraj, kde medián ceny elektromobilů dosahuje 699 900 Kč. Zároveň zde patří nabízené elektromobily k nejstarším – medián jejich stáří činí čtyři roky. Stejnou hodnotu vykazují také Jihočeský a Liberecký kraj a Kraj Vysočina. </w:t>
      </w:r>
    </w:p>
    <w:p w14:paraId="5AC125CD" w14:textId="77777777" w:rsidR="006C60B9" w:rsidRDefault="00797219">
      <w:pPr>
        <w:jc w:val="center"/>
        <w:rPr>
          <w:b/>
          <w:bCs/>
        </w:rPr>
      </w:pPr>
      <w:r>
        <w:rPr>
          <w:b/>
          <w:bCs/>
        </w:rPr>
        <w:t xml:space="preserve">Nabídka elektromobilů a dobíjecí infrastruktura v krajích ČR </w:t>
      </w:r>
    </w:p>
    <w:tbl>
      <w:tblPr>
        <w:tblStyle w:val="a"/>
        <w:tblW w:w="907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349"/>
        <w:gridCol w:w="2320"/>
        <w:gridCol w:w="1740"/>
        <w:gridCol w:w="2662"/>
      </w:tblGrid>
      <w:tr w:rsidR="006C60B9" w14:paraId="141A3F8D" w14:textId="77777777">
        <w:trPr>
          <w:trHeight w:val="615"/>
        </w:trPr>
        <w:tc>
          <w:tcPr>
            <w:tcW w:w="2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9999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ED4087B" w14:textId="77777777" w:rsidR="006C60B9" w:rsidRDefault="00797219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CC0000"/>
              </w:rPr>
              <w:t>Kraj</w:t>
            </w:r>
          </w:p>
        </w:tc>
        <w:tc>
          <w:tcPr>
            <w:tcW w:w="231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99999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7563CCF" w14:textId="77777777" w:rsidR="006C60B9" w:rsidRDefault="00797219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CC0000"/>
              </w:rPr>
              <w:t>Podíl elektromobilů na nabídce vozů v kraji</w:t>
            </w:r>
          </w:p>
        </w:tc>
        <w:tc>
          <w:tcPr>
            <w:tcW w:w="173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99999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267C124" w14:textId="77777777" w:rsidR="006C60B9" w:rsidRDefault="00797219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CC0000"/>
              </w:rPr>
              <w:t>Počet dobíjecích bodů v kraji</w:t>
            </w:r>
          </w:p>
        </w:tc>
        <w:tc>
          <w:tcPr>
            <w:tcW w:w="266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99999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1696A28" w14:textId="77777777" w:rsidR="006C60B9" w:rsidRDefault="00797219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CC0000"/>
              </w:rPr>
              <w:t>Podíl kraje na celkovém počtu dobíjecích bodů v ČR</w:t>
            </w:r>
          </w:p>
        </w:tc>
      </w:tr>
      <w:tr w:rsidR="006C60B9" w14:paraId="20AFD273" w14:textId="77777777">
        <w:trPr>
          <w:trHeight w:val="255"/>
        </w:trPr>
        <w:tc>
          <w:tcPr>
            <w:tcW w:w="23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E04AE7B" w14:textId="77777777" w:rsidR="006C60B9" w:rsidRDefault="00797219">
            <w:pPr>
              <w:widowControl w:val="0"/>
              <w:spacing w:after="0" w:line="276" w:lineRule="auto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Hlavní město Praha</w:t>
            </w:r>
          </w:p>
        </w:tc>
        <w:tc>
          <w:tcPr>
            <w:tcW w:w="23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4A68F9C" w14:textId="77777777" w:rsidR="006C60B9" w:rsidRDefault="00797219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17,33 %</w:t>
            </w:r>
          </w:p>
        </w:tc>
        <w:tc>
          <w:tcPr>
            <w:tcW w:w="173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4E00EDE" w14:textId="77777777" w:rsidR="006C60B9" w:rsidRDefault="00797219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1 580</w:t>
            </w:r>
          </w:p>
        </w:tc>
        <w:tc>
          <w:tcPr>
            <w:tcW w:w="266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2A72128" w14:textId="77777777" w:rsidR="006C60B9" w:rsidRDefault="00797219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24,7 %</w:t>
            </w:r>
          </w:p>
        </w:tc>
      </w:tr>
      <w:tr w:rsidR="006C60B9" w14:paraId="5ED4109A" w14:textId="77777777">
        <w:trPr>
          <w:trHeight w:val="255"/>
        </w:trPr>
        <w:tc>
          <w:tcPr>
            <w:tcW w:w="23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429543B" w14:textId="77777777" w:rsidR="006C60B9" w:rsidRDefault="00797219">
            <w:pPr>
              <w:widowControl w:val="0"/>
              <w:spacing w:after="0" w:line="276" w:lineRule="auto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Středočeský kraj</w:t>
            </w:r>
          </w:p>
        </w:tc>
        <w:tc>
          <w:tcPr>
            <w:tcW w:w="23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09115BB" w14:textId="77777777" w:rsidR="006C60B9" w:rsidRDefault="00797219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12,66 %</w:t>
            </w:r>
          </w:p>
        </w:tc>
        <w:tc>
          <w:tcPr>
            <w:tcW w:w="173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8FB668D" w14:textId="77777777" w:rsidR="006C60B9" w:rsidRDefault="00797219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889</w:t>
            </w:r>
          </w:p>
        </w:tc>
        <w:tc>
          <w:tcPr>
            <w:tcW w:w="266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F99EADD" w14:textId="77777777" w:rsidR="006C60B9" w:rsidRDefault="00797219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13,9 %</w:t>
            </w:r>
          </w:p>
        </w:tc>
      </w:tr>
      <w:tr w:rsidR="006C60B9" w14:paraId="4CE06C90" w14:textId="77777777">
        <w:trPr>
          <w:trHeight w:val="255"/>
        </w:trPr>
        <w:tc>
          <w:tcPr>
            <w:tcW w:w="23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88DC881" w14:textId="77777777" w:rsidR="006C60B9" w:rsidRDefault="00797219">
            <w:pPr>
              <w:widowControl w:val="0"/>
              <w:spacing w:after="0" w:line="276" w:lineRule="auto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Jihomoravský kraj</w:t>
            </w:r>
          </w:p>
        </w:tc>
        <w:tc>
          <w:tcPr>
            <w:tcW w:w="23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251A733" w14:textId="77777777" w:rsidR="006C60B9" w:rsidRDefault="00797219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12,60 %</w:t>
            </w:r>
          </w:p>
        </w:tc>
        <w:tc>
          <w:tcPr>
            <w:tcW w:w="173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1881B0E" w14:textId="77777777" w:rsidR="006C60B9" w:rsidRDefault="00797219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708</w:t>
            </w:r>
          </w:p>
        </w:tc>
        <w:tc>
          <w:tcPr>
            <w:tcW w:w="266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D82C585" w14:textId="77777777" w:rsidR="006C60B9" w:rsidRDefault="00797219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11,0 %</w:t>
            </w:r>
          </w:p>
        </w:tc>
      </w:tr>
      <w:tr w:rsidR="006C60B9" w14:paraId="586F3E8A" w14:textId="77777777">
        <w:trPr>
          <w:trHeight w:val="255"/>
        </w:trPr>
        <w:tc>
          <w:tcPr>
            <w:tcW w:w="23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8B1A3DB" w14:textId="77777777" w:rsidR="006C60B9" w:rsidRDefault="00797219">
            <w:pPr>
              <w:widowControl w:val="0"/>
              <w:spacing w:after="0" w:line="276" w:lineRule="auto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Pardubický kraj</w:t>
            </w:r>
          </w:p>
        </w:tc>
        <w:tc>
          <w:tcPr>
            <w:tcW w:w="23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1E7F6B4" w14:textId="77777777" w:rsidR="006C60B9" w:rsidRDefault="00797219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6,75 %</w:t>
            </w:r>
          </w:p>
        </w:tc>
        <w:tc>
          <w:tcPr>
            <w:tcW w:w="173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AF031AE" w14:textId="77777777" w:rsidR="006C60B9" w:rsidRDefault="00797219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246</w:t>
            </w:r>
          </w:p>
        </w:tc>
        <w:tc>
          <w:tcPr>
            <w:tcW w:w="266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BAEB554" w14:textId="77777777" w:rsidR="006C60B9" w:rsidRDefault="00797219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3,8 %</w:t>
            </w:r>
          </w:p>
        </w:tc>
      </w:tr>
      <w:tr w:rsidR="006C60B9" w14:paraId="51B379C9" w14:textId="77777777">
        <w:trPr>
          <w:trHeight w:val="255"/>
        </w:trPr>
        <w:tc>
          <w:tcPr>
            <w:tcW w:w="23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EBF2AF8" w14:textId="77777777" w:rsidR="006C60B9" w:rsidRDefault="00797219">
            <w:pPr>
              <w:widowControl w:val="0"/>
              <w:spacing w:after="0" w:line="276" w:lineRule="auto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Královéhradecký kraj</w:t>
            </w:r>
          </w:p>
        </w:tc>
        <w:tc>
          <w:tcPr>
            <w:tcW w:w="23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6E04914" w14:textId="77777777" w:rsidR="006C60B9" w:rsidRDefault="00797219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6,49 %</w:t>
            </w:r>
          </w:p>
        </w:tc>
        <w:tc>
          <w:tcPr>
            <w:tcW w:w="173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5606E11" w14:textId="77777777" w:rsidR="006C60B9" w:rsidRDefault="00797219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360</w:t>
            </w:r>
          </w:p>
        </w:tc>
        <w:tc>
          <w:tcPr>
            <w:tcW w:w="266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F6B47EE" w14:textId="77777777" w:rsidR="006C60B9" w:rsidRDefault="00797219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5,6 %</w:t>
            </w:r>
          </w:p>
        </w:tc>
      </w:tr>
      <w:tr w:rsidR="006C60B9" w14:paraId="663B9DC2" w14:textId="77777777">
        <w:trPr>
          <w:trHeight w:val="255"/>
        </w:trPr>
        <w:tc>
          <w:tcPr>
            <w:tcW w:w="23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D53E577" w14:textId="77777777" w:rsidR="006C60B9" w:rsidRDefault="00797219">
            <w:pPr>
              <w:widowControl w:val="0"/>
              <w:spacing w:after="0" w:line="276" w:lineRule="auto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Jihočeský kraj</w:t>
            </w:r>
          </w:p>
        </w:tc>
        <w:tc>
          <w:tcPr>
            <w:tcW w:w="23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696F114" w14:textId="77777777" w:rsidR="006C60B9" w:rsidRDefault="00797219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5,95 %</w:t>
            </w:r>
          </w:p>
        </w:tc>
        <w:tc>
          <w:tcPr>
            <w:tcW w:w="173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7AB6701" w14:textId="77777777" w:rsidR="006C60B9" w:rsidRDefault="00797219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437</w:t>
            </w:r>
          </w:p>
        </w:tc>
        <w:tc>
          <w:tcPr>
            <w:tcW w:w="266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59B69ED" w14:textId="77777777" w:rsidR="006C60B9" w:rsidRDefault="00797219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6,8 %</w:t>
            </w:r>
          </w:p>
        </w:tc>
      </w:tr>
      <w:tr w:rsidR="006C60B9" w14:paraId="6B5ED511" w14:textId="77777777">
        <w:trPr>
          <w:trHeight w:val="255"/>
        </w:trPr>
        <w:tc>
          <w:tcPr>
            <w:tcW w:w="23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82014A3" w14:textId="77777777" w:rsidR="006C60B9" w:rsidRDefault="00797219">
            <w:pPr>
              <w:widowControl w:val="0"/>
              <w:spacing w:after="0" w:line="276" w:lineRule="auto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Moravskoslezský kraj</w:t>
            </w:r>
          </w:p>
        </w:tc>
        <w:tc>
          <w:tcPr>
            <w:tcW w:w="23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1C4800B" w14:textId="77777777" w:rsidR="006C60B9" w:rsidRDefault="00797219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5,47 %</w:t>
            </w:r>
          </w:p>
        </w:tc>
        <w:tc>
          <w:tcPr>
            <w:tcW w:w="173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A70DCC6" w14:textId="77777777" w:rsidR="006C60B9" w:rsidRDefault="00797219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483</w:t>
            </w:r>
          </w:p>
        </w:tc>
        <w:tc>
          <w:tcPr>
            <w:tcW w:w="266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6D242F1" w14:textId="77777777" w:rsidR="006C60B9" w:rsidRDefault="00797219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7,5 %</w:t>
            </w:r>
          </w:p>
        </w:tc>
      </w:tr>
      <w:tr w:rsidR="006C60B9" w14:paraId="0C85D3B1" w14:textId="77777777">
        <w:trPr>
          <w:trHeight w:val="255"/>
        </w:trPr>
        <w:tc>
          <w:tcPr>
            <w:tcW w:w="23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020CBE3" w14:textId="77777777" w:rsidR="006C60B9" w:rsidRDefault="00797219">
            <w:pPr>
              <w:widowControl w:val="0"/>
              <w:spacing w:after="0" w:line="276" w:lineRule="auto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Zlínský kraj</w:t>
            </w:r>
          </w:p>
        </w:tc>
        <w:tc>
          <w:tcPr>
            <w:tcW w:w="23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53A8DB7" w14:textId="77777777" w:rsidR="006C60B9" w:rsidRDefault="00797219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4,78 %</w:t>
            </w:r>
          </w:p>
        </w:tc>
        <w:tc>
          <w:tcPr>
            <w:tcW w:w="173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25BA5E8" w14:textId="77777777" w:rsidR="006C60B9" w:rsidRDefault="00797219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203</w:t>
            </w:r>
          </w:p>
        </w:tc>
        <w:tc>
          <w:tcPr>
            <w:tcW w:w="266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0F89C01" w14:textId="77777777" w:rsidR="006C60B9" w:rsidRDefault="00797219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3,2 %</w:t>
            </w:r>
          </w:p>
        </w:tc>
      </w:tr>
      <w:tr w:rsidR="006C60B9" w14:paraId="76AFFB93" w14:textId="77777777">
        <w:trPr>
          <w:trHeight w:val="255"/>
        </w:trPr>
        <w:tc>
          <w:tcPr>
            <w:tcW w:w="23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516F490" w14:textId="77777777" w:rsidR="006C60B9" w:rsidRDefault="00797219">
            <w:pPr>
              <w:widowControl w:val="0"/>
              <w:spacing w:after="0" w:line="276" w:lineRule="auto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Karlovarský kraj</w:t>
            </w:r>
          </w:p>
        </w:tc>
        <w:tc>
          <w:tcPr>
            <w:tcW w:w="23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CB0E1D2" w14:textId="77777777" w:rsidR="006C60B9" w:rsidRDefault="00797219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4,14 %</w:t>
            </w:r>
          </w:p>
        </w:tc>
        <w:tc>
          <w:tcPr>
            <w:tcW w:w="173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8D42742" w14:textId="77777777" w:rsidR="006C60B9" w:rsidRDefault="00797219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151</w:t>
            </w:r>
          </w:p>
        </w:tc>
        <w:tc>
          <w:tcPr>
            <w:tcW w:w="266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DF2CD04" w14:textId="77777777" w:rsidR="006C60B9" w:rsidRDefault="00797219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2,4 %</w:t>
            </w:r>
          </w:p>
        </w:tc>
      </w:tr>
      <w:tr w:rsidR="006C60B9" w14:paraId="4DD0BBD5" w14:textId="77777777">
        <w:trPr>
          <w:trHeight w:val="255"/>
        </w:trPr>
        <w:tc>
          <w:tcPr>
            <w:tcW w:w="23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8533089" w14:textId="77777777" w:rsidR="006C60B9" w:rsidRDefault="00797219">
            <w:pPr>
              <w:widowControl w:val="0"/>
              <w:spacing w:after="0" w:line="276" w:lineRule="auto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Plzeňský kraj</w:t>
            </w:r>
          </w:p>
        </w:tc>
        <w:tc>
          <w:tcPr>
            <w:tcW w:w="23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A79D49C" w14:textId="77777777" w:rsidR="006C60B9" w:rsidRDefault="00797219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3,12 %</w:t>
            </w:r>
          </w:p>
        </w:tc>
        <w:tc>
          <w:tcPr>
            <w:tcW w:w="173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EDE1A2B" w14:textId="77777777" w:rsidR="006C60B9" w:rsidRDefault="00797219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236</w:t>
            </w:r>
          </w:p>
        </w:tc>
        <w:tc>
          <w:tcPr>
            <w:tcW w:w="266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99ED7FD" w14:textId="77777777" w:rsidR="006C60B9" w:rsidRDefault="00797219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3,7 %</w:t>
            </w:r>
          </w:p>
        </w:tc>
      </w:tr>
      <w:tr w:rsidR="006C60B9" w14:paraId="27A9625B" w14:textId="77777777">
        <w:trPr>
          <w:trHeight w:val="255"/>
        </w:trPr>
        <w:tc>
          <w:tcPr>
            <w:tcW w:w="23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BC2B9B0" w14:textId="77777777" w:rsidR="006C60B9" w:rsidRDefault="00797219">
            <w:pPr>
              <w:widowControl w:val="0"/>
              <w:spacing w:after="0" w:line="276" w:lineRule="auto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Olomoucký kraj</w:t>
            </w:r>
          </w:p>
        </w:tc>
        <w:tc>
          <w:tcPr>
            <w:tcW w:w="23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85A7093" w14:textId="77777777" w:rsidR="006C60B9" w:rsidRDefault="00797219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1,99 %</w:t>
            </w:r>
          </w:p>
        </w:tc>
        <w:tc>
          <w:tcPr>
            <w:tcW w:w="173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09D96DD" w14:textId="77777777" w:rsidR="006C60B9" w:rsidRDefault="00797219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286</w:t>
            </w:r>
          </w:p>
        </w:tc>
        <w:tc>
          <w:tcPr>
            <w:tcW w:w="266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8B15F7F" w14:textId="77777777" w:rsidR="006C60B9" w:rsidRDefault="00797219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4,5 %</w:t>
            </w:r>
          </w:p>
        </w:tc>
      </w:tr>
      <w:tr w:rsidR="006C60B9" w14:paraId="3146E2BA" w14:textId="77777777">
        <w:trPr>
          <w:trHeight w:val="255"/>
        </w:trPr>
        <w:tc>
          <w:tcPr>
            <w:tcW w:w="23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82F0105" w14:textId="77777777" w:rsidR="006C60B9" w:rsidRDefault="00797219">
            <w:pPr>
              <w:widowControl w:val="0"/>
              <w:spacing w:after="0" w:line="276" w:lineRule="auto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Liberecký kraj</w:t>
            </w:r>
          </w:p>
        </w:tc>
        <w:tc>
          <w:tcPr>
            <w:tcW w:w="23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E46ECFE" w14:textId="77777777" w:rsidR="006C60B9" w:rsidRDefault="00797219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1,57 %</w:t>
            </w:r>
          </w:p>
        </w:tc>
        <w:tc>
          <w:tcPr>
            <w:tcW w:w="173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1FE8D62" w14:textId="77777777" w:rsidR="006C60B9" w:rsidRDefault="00797219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196</w:t>
            </w:r>
          </w:p>
        </w:tc>
        <w:tc>
          <w:tcPr>
            <w:tcW w:w="266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D82E2E2" w14:textId="77777777" w:rsidR="006C60B9" w:rsidRDefault="00797219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3,0 %</w:t>
            </w:r>
          </w:p>
        </w:tc>
      </w:tr>
      <w:tr w:rsidR="006C60B9" w14:paraId="3A61D829" w14:textId="77777777">
        <w:trPr>
          <w:trHeight w:val="255"/>
        </w:trPr>
        <w:tc>
          <w:tcPr>
            <w:tcW w:w="23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774BF42" w14:textId="77777777" w:rsidR="006C60B9" w:rsidRDefault="00797219">
            <w:pPr>
              <w:widowControl w:val="0"/>
              <w:spacing w:after="0" w:line="276" w:lineRule="auto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lastRenderedPageBreak/>
              <w:t>Kraj Vysočina</w:t>
            </w:r>
          </w:p>
        </w:tc>
        <w:tc>
          <w:tcPr>
            <w:tcW w:w="23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4D9F79B" w14:textId="77777777" w:rsidR="006C60B9" w:rsidRDefault="00797219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1,55 %</w:t>
            </w:r>
          </w:p>
        </w:tc>
        <w:tc>
          <w:tcPr>
            <w:tcW w:w="173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8FCCABA" w14:textId="77777777" w:rsidR="006C60B9" w:rsidRDefault="00797219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280</w:t>
            </w:r>
          </w:p>
        </w:tc>
        <w:tc>
          <w:tcPr>
            <w:tcW w:w="266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4FA1E1B" w14:textId="77777777" w:rsidR="006C60B9" w:rsidRDefault="00797219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4,4 %</w:t>
            </w:r>
          </w:p>
        </w:tc>
      </w:tr>
      <w:tr w:rsidR="006C60B9" w14:paraId="144199AC" w14:textId="77777777">
        <w:trPr>
          <w:trHeight w:val="255"/>
        </w:trPr>
        <w:tc>
          <w:tcPr>
            <w:tcW w:w="23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6AE7B87" w14:textId="77777777" w:rsidR="006C60B9" w:rsidRDefault="00797219">
            <w:pPr>
              <w:widowControl w:val="0"/>
              <w:spacing w:after="0" w:line="276" w:lineRule="auto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Ústecký kraj</w:t>
            </w:r>
          </w:p>
        </w:tc>
        <w:tc>
          <w:tcPr>
            <w:tcW w:w="23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EC5D3B0" w14:textId="77777777" w:rsidR="006C60B9" w:rsidRDefault="00797219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0,86 %</w:t>
            </w:r>
          </w:p>
        </w:tc>
        <w:tc>
          <w:tcPr>
            <w:tcW w:w="173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6570B7D" w14:textId="77777777" w:rsidR="006C60B9" w:rsidRDefault="00797219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355</w:t>
            </w:r>
          </w:p>
        </w:tc>
        <w:tc>
          <w:tcPr>
            <w:tcW w:w="266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4607A53" w14:textId="77777777" w:rsidR="006C60B9" w:rsidRDefault="00797219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5,5 %</w:t>
            </w:r>
          </w:p>
        </w:tc>
      </w:tr>
    </w:tbl>
    <w:p w14:paraId="33B114F5" w14:textId="77777777" w:rsidR="006C60B9" w:rsidRDefault="00797219">
      <w:pPr>
        <w:rPr>
          <w:sz w:val="18"/>
          <w:szCs w:val="18"/>
        </w:rPr>
      </w:pPr>
      <w:r>
        <w:rPr>
          <w:sz w:val="18"/>
          <w:szCs w:val="18"/>
        </w:rPr>
        <w:t xml:space="preserve">Zdroj: data </w:t>
      </w:r>
      <w:proofErr w:type="spellStart"/>
      <w:r>
        <w:rPr>
          <w:sz w:val="18"/>
          <w:szCs w:val="18"/>
        </w:rPr>
        <w:t>TipCars</w:t>
      </w:r>
      <w:proofErr w:type="spellEnd"/>
      <w:r>
        <w:rPr>
          <w:sz w:val="18"/>
          <w:szCs w:val="18"/>
        </w:rPr>
        <w:t xml:space="preserve"> a </w:t>
      </w:r>
      <w:hyperlink r:id="rId9">
        <w:r w:rsidR="006C60B9">
          <w:rPr>
            <w:color w:val="1155CC"/>
            <w:sz w:val="18"/>
            <w:szCs w:val="18"/>
            <w:u w:val="single"/>
          </w:rPr>
          <w:t>cistadoprava.cz</w:t>
        </w:r>
      </w:hyperlink>
      <w:r>
        <w:rPr>
          <w:sz w:val="18"/>
          <w:szCs w:val="18"/>
        </w:rPr>
        <w:t>, k 30.6.2026.</w:t>
      </w:r>
    </w:p>
    <w:p w14:paraId="6FB10114" w14:textId="77777777" w:rsidR="00A93C85" w:rsidRDefault="00A93C85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80"/>
        <w:rPr>
          <w:b/>
          <w:bCs/>
          <w:color w:val="383D41"/>
          <w:sz w:val="22"/>
          <w:szCs w:val="22"/>
        </w:rPr>
      </w:pPr>
    </w:p>
    <w:p w14:paraId="2B7DBAB2" w14:textId="17DF61A0" w:rsidR="006C60B9" w:rsidRDefault="00797219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80"/>
        <w:rPr>
          <w:b/>
          <w:bCs/>
          <w:color w:val="383D41"/>
          <w:sz w:val="22"/>
          <w:szCs w:val="22"/>
        </w:rPr>
      </w:pPr>
      <w:r>
        <w:rPr>
          <w:b/>
          <w:bCs/>
          <w:color w:val="383D41"/>
          <w:sz w:val="22"/>
          <w:szCs w:val="22"/>
        </w:rPr>
        <w:t xml:space="preserve">Kontakt pro média: </w:t>
      </w:r>
    </w:p>
    <w:p w14:paraId="11700147" w14:textId="77777777" w:rsidR="006C60B9" w:rsidRDefault="007972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left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b/>
          <w:bCs/>
          <w:color w:val="383D41"/>
          <w:sz w:val="18"/>
          <w:szCs w:val="18"/>
        </w:rPr>
        <w:t>David Vedral</w:t>
      </w:r>
      <w:r>
        <w:rPr>
          <w:rFonts w:ascii="Arial" w:eastAsia="Arial" w:hAnsi="Arial" w:cs="Arial"/>
          <w:color w:val="383D41"/>
          <w:sz w:val="18"/>
          <w:szCs w:val="18"/>
        </w:rPr>
        <w:t> </w:t>
      </w:r>
      <w:r>
        <w:rPr>
          <w:color w:val="383D41"/>
          <w:sz w:val="18"/>
          <w:szCs w:val="18"/>
        </w:rPr>
        <w:t> </w:t>
      </w:r>
    </w:p>
    <w:p w14:paraId="10EDC6A1" w14:textId="77777777" w:rsidR="006C60B9" w:rsidRDefault="007972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left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color w:val="383D41"/>
          <w:sz w:val="18"/>
          <w:szCs w:val="18"/>
        </w:rPr>
        <w:t xml:space="preserve">e-mail: </w:t>
      </w:r>
      <w:hyperlink r:id="rId10">
        <w:r w:rsidR="006C60B9">
          <w:rPr>
            <w:color w:val="F15B4F"/>
            <w:sz w:val="18"/>
            <w:szCs w:val="18"/>
            <w:u w:val="single"/>
          </w:rPr>
          <w:t>david.vedral@insighters.cz</w:t>
        </w:r>
      </w:hyperlink>
      <w:r>
        <w:rPr>
          <w:rFonts w:ascii="Arial" w:eastAsia="Arial" w:hAnsi="Arial" w:cs="Arial"/>
          <w:color w:val="F15B4F"/>
          <w:sz w:val="18"/>
          <w:szCs w:val="18"/>
        </w:rPr>
        <w:t> </w:t>
      </w:r>
      <w:r>
        <w:rPr>
          <w:color w:val="F15B4F"/>
          <w:sz w:val="18"/>
          <w:szCs w:val="18"/>
        </w:rPr>
        <w:t> </w:t>
      </w:r>
    </w:p>
    <w:p w14:paraId="0CE9CD0F" w14:textId="77777777" w:rsidR="006C60B9" w:rsidRDefault="007972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left"/>
        <w:rPr>
          <w:color w:val="383D41"/>
          <w:sz w:val="18"/>
          <w:szCs w:val="18"/>
        </w:rPr>
      </w:pPr>
      <w:r>
        <w:rPr>
          <w:color w:val="383D41"/>
          <w:sz w:val="18"/>
          <w:szCs w:val="18"/>
        </w:rPr>
        <w:t>m bil:</w:t>
      </w:r>
      <w:r>
        <w:rPr>
          <w:rFonts w:ascii="Arial" w:eastAsia="Arial" w:hAnsi="Arial" w:cs="Arial"/>
          <w:color w:val="383D41"/>
          <w:sz w:val="18"/>
          <w:szCs w:val="18"/>
        </w:rPr>
        <w:t> </w:t>
      </w:r>
      <w:r>
        <w:rPr>
          <w:color w:val="383D41"/>
          <w:sz w:val="18"/>
          <w:szCs w:val="18"/>
        </w:rPr>
        <w:t>+420</w:t>
      </w:r>
      <w:r>
        <w:rPr>
          <w:rFonts w:ascii="Arial" w:eastAsia="Arial" w:hAnsi="Arial" w:cs="Arial"/>
          <w:color w:val="383D41"/>
          <w:sz w:val="18"/>
          <w:szCs w:val="18"/>
        </w:rPr>
        <w:t> </w:t>
      </w:r>
      <w:r>
        <w:rPr>
          <w:color w:val="383D41"/>
          <w:sz w:val="18"/>
          <w:szCs w:val="18"/>
        </w:rPr>
        <w:t>725</w:t>
      </w:r>
      <w:r>
        <w:rPr>
          <w:rFonts w:ascii="Arial" w:eastAsia="Arial" w:hAnsi="Arial" w:cs="Arial"/>
          <w:color w:val="383D41"/>
          <w:sz w:val="18"/>
          <w:szCs w:val="18"/>
        </w:rPr>
        <w:t> </w:t>
      </w:r>
      <w:r>
        <w:rPr>
          <w:color w:val="383D41"/>
          <w:sz w:val="18"/>
          <w:szCs w:val="18"/>
        </w:rPr>
        <w:t>884</w:t>
      </w:r>
      <w:r>
        <w:rPr>
          <w:rFonts w:ascii="Arial" w:eastAsia="Arial" w:hAnsi="Arial" w:cs="Arial"/>
          <w:color w:val="383D41"/>
          <w:sz w:val="18"/>
          <w:szCs w:val="18"/>
        </w:rPr>
        <w:t> </w:t>
      </w:r>
      <w:r>
        <w:rPr>
          <w:color w:val="383D41"/>
          <w:sz w:val="18"/>
          <w:szCs w:val="18"/>
        </w:rPr>
        <w:t>414</w:t>
      </w:r>
    </w:p>
    <w:p w14:paraId="006C5F44" w14:textId="77777777" w:rsidR="006C60B9" w:rsidRDefault="007972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left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color w:val="383D41"/>
          <w:sz w:val="18"/>
          <w:szCs w:val="18"/>
        </w:rPr>
        <w:t> </w:t>
      </w:r>
    </w:p>
    <w:p w14:paraId="588F6AA0" w14:textId="77777777" w:rsidR="006C60B9" w:rsidRDefault="00797219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80"/>
        <w:rPr>
          <w:b/>
          <w:bCs/>
          <w:color w:val="383D41"/>
          <w:sz w:val="22"/>
          <w:szCs w:val="22"/>
        </w:rPr>
      </w:pPr>
      <w:r>
        <w:rPr>
          <w:b/>
          <w:bCs/>
          <w:color w:val="383D41"/>
          <w:sz w:val="22"/>
          <w:szCs w:val="22"/>
        </w:rPr>
        <w:t xml:space="preserve">O </w:t>
      </w:r>
      <w:proofErr w:type="spellStart"/>
      <w:r>
        <w:rPr>
          <w:b/>
          <w:bCs/>
          <w:color w:val="383D41"/>
          <w:sz w:val="22"/>
          <w:szCs w:val="22"/>
        </w:rPr>
        <w:t>TipCars</w:t>
      </w:r>
      <w:proofErr w:type="spellEnd"/>
      <w:r>
        <w:rPr>
          <w:b/>
          <w:bCs/>
          <w:color w:val="383D41"/>
          <w:sz w:val="22"/>
          <w:szCs w:val="22"/>
        </w:rPr>
        <w:t xml:space="preserve"> </w:t>
      </w:r>
    </w:p>
    <w:p w14:paraId="10FA5B70" w14:textId="77777777" w:rsidR="006C60B9" w:rsidRDefault="00797219">
      <w:pPr>
        <w:pBdr>
          <w:top w:val="nil"/>
          <w:left w:val="nil"/>
          <w:bottom w:val="nil"/>
          <w:right w:val="nil"/>
          <w:between w:val="nil"/>
        </w:pBdr>
        <w:rPr>
          <w:i/>
          <w:iCs/>
          <w:color w:val="383D41"/>
          <w:sz w:val="18"/>
          <w:szCs w:val="18"/>
        </w:rPr>
      </w:pPr>
      <w:r>
        <w:rPr>
          <w:i/>
          <w:iCs/>
          <w:color w:val="383D41"/>
          <w:sz w:val="18"/>
          <w:szCs w:val="18"/>
        </w:rPr>
        <w:t>Portál TipCars.com zprostředkovává prodej nových a ojetých aut, a to jak mezi prodejci a zájemci o koupi vozu, tak i přímo mezi lidmi navzájem. TipCars.com nabízí prodejcům jedinečné řešení pro jednoduchý a efektivní prodej automobilů. Díky spolupráci s partnery patřící mezi přední hráče napříč auto-moto trhem – od dovozců a dealerů přes autobazary až po poskytovatele leasingových služeb – najdou na TipCars.com zájemci o koupi vozu vše na jednom místě. V současné době patří TipCars.com s nabídkou více než 7</w:t>
      </w:r>
      <w:r>
        <w:rPr>
          <w:i/>
          <w:iCs/>
          <w:color w:val="383D41"/>
          <w:sz w:val="18"/>
          <w:szCs w:val="18"/>
        </w:rPr>
        <w:t>0 000 inzerátů od více než 1 500 partnerů a soukromých prodejců mezi největší inzertní auto-moto weby na českém trhu.</w:t>
      </w:r>
    </w:p>
    <w:sectPr w:rsidR="006C60B9">
      <w:headerReference w:type="default" r:id="rId11"/>
      <w:footerReference w:type="default" r:id="rId12"/>
      <w:pgSz w:w="11906" w:h="16838"/>
      <w:pgMar w:top="2127" w:right="1417" w:bottom="1560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F5409C" w14:textId="77777777" w:rsidR="00797219" w:rsidRDefault="00797219">
      <w:pPr>
        <w:spacing w:after="0" w:line="240" w:lineRule="auto"/>
      </w:pPr>
      <w:r>
        <w:separator/>
      </w:r>
    </w:p>
  </w:endnote>
  <w:endnote w:type="continuationSeparator" w:id="0">
    <w:p w14:paraId="6DEAB4E9" w14:textId="77777777" w:rsidR="00797219" w:rsidRDefault="007972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  <w:embedRegular r:id="rId1" w:fontKey="{7E839D47-7361-4C88-BD56-9B644C218894}"/>
    <w:embedBold r:id="rId2" w:fontKey="{F79EC6FF-34E4-48C4-B11A-1FB7866D0321}"/>
    <w:embedItalic r:id="rId3" w:fontKey="{185A2E7F-E86C-4273-9814-D9399991B4A3}"/>
  </w:font>
  <w:font w:name="Play">
    <w:charset w:val="00"/>
    <w:family w:val="auto"/>
    <w:pitch w:val="default"/>
    <w:embedRegular r:id="rId4" w:fontKey="{B359719B-D67F-483A-B863-1CCBDF57EE9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86E672AF-0976-4C0B-8D7C-F94C6647A95E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6" w:fontKey="{C9BD16E3-A575-4F86-9107-CAFFD19FEF9C}"/>
    <w:embedItalic r:id="rId7" w:fontKey="{4FBFC4DC-A1CA-4D9C-9AA6-BA80EEE0B3D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Quattrocento Sans">
    <w:charset w:val="00"/>
    <w:family w:val="swiss"/>
    <w:pitch w:val="variable"/>
    <w:sig w:usb0="800000BF" w:usb1="4000005B" w:usb2="00000000" w:usb3="00000000" w:csb0="00000001" w:csb1="00000000"/>
    <w:embedRegular r:id="rId8" w:fontKey="{7363B898-B803-4BEA-8646-1C50C772DD1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DAD7D5" w14:textId="77777777" w:rsidR="006C60B9" w:rsidRDefault="0079721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383D41"/>
        <w:sz w:val="16"/>
        <w:szCs w:val="16"/>
      </w:rPr>
    </w:pPr>
    <w:r>
      <w:rPr>
        <w:color w:val="383D41"/>
        <w:sz w:val="16"/>
        <w:szCs w:val="16"/>
      </w:rPr>
      <w:fldChar w:fldCharType="begin"/>
    </w:r>
    <w:r>
      <w:rPr>
        <w:color w:val="383D41"/>
        <w:sz w:val="16"/>
        <w:szCs w:val="16"/>
      </w:rPr>
      <w:instrText>PAGE</w:instrText>
    </w:r>
    <w:r>
      <w:rPr>
        <w:color w:val="383D41"/>
        <w:sz w:val="16"/>
        <w:szCs w:val="16"/>
      </w:rPr>
      <w:fldChar w:fldCharType="separate"/>
    </w:r>
    <w:r w:rsidR="00A93C85">
      <w:rPr>
        <w:noProof/>
        <w:color w:val="383D41"/>
        <w:sz w:val="16"/>
        <w:szCs w:val="16"/>
      </w:rPr>
      <w:t>1</w:t>
    </w:r>
    <w:r>
      <w:rPr>
        <w:color w:val="383D41"/>
        <w:sz w:val="16"/>
        <w:szCs w:val="16"/>
      </w:rPr>
      <w:fldChar w:fldCharType="end"/>
    </w:r>
  </w:p>
  <w:p w14:paraId="4396C804" w14:textId="77777777" w:rsidR="006C60B9" w:rsidRDefault="006C60B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B4081E" w14:textId="77777777" w:rsidR="00797219" w:rsidRDefault="00797219">
      <w:pPr>
        <w:spacing w:after="0" w:line="240" w:lineRule="auto"/>
      </w:pPr>
      <w:r>
        <w:separator/>
      </w:r>
    </w:p>
  </w:footnote>
  <w:footnote w:type="continuationSeparator" w:id="0">
    <w:p w14:paraId="792F31B5" w14:textId="77777777" w:rsidR="00797219" w:rsidRDefault="007972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A07436" w14:textId="77777777" w:rsidR="006C60B9" w:rsidRDefault="0079721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before="360" w:after="0" w:line="240" w:lineRule="auto"/>
      <w:rPr>
        <w:b/>
        <w:bCs/>
        <w:color w:val="383D41"/>
        <w:sz w:val="28"/>
        <w:szCs w:val="28"/>
      </w:rPr>
    </w:pPr>
    <w:r>
      <w:rPr>
        <w:b/>
        <w:bCs/>
        <w:color w:val="383D41"/>
        <w:sz w:val="32"/>
        <w:szCs w:val="32"/>
      </w:rPr>
      <w:t>Tisková zpráva</w:t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4F9CA37F" wp14:editId="473924AA">
          <wp:simplePos x="0" y="0"/>
          <wp:positionH relativeFrom="column">
            <wp:posOffset>4845685</wp:posOffset>
          </wp:positionH>
          <wp:positionV relativeFrom="paragraph">
            <wp:posOffset>-167638</wp:posOffset>
          </wp:positionV>
          <wp:extent cx="1021080" cy="1021080"/>
          <wp:effectExtent l="0" t="0" r="0" b="0"/>
          <wp:wrapSquare wrapText="bothSides" distT="0" distB="0" distL="114300" distR="114300"/>
          <wp:docPr id="1521404811" name="image2.png" descr="Obsah obrázku text, Písmo, snímek obrazovky, logo&#10;&#10;Popis byl vytvořen automaticky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Obsah obrázku text, Písmo, snímek obrazovky, logo&#10;&#10;Popis byl vytvořen automaticky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21080" cy="10210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60B9"/>
    <w:rsid w:val="001056EF"/>
    <w:rsid w:val="00220D18"/>
    <w:rsid w:val="002A3AF6"/>
    <w:rsid w:val="006C60B9"/>
    <w:rsid w:val="00711DC0"/>
    <w:rsid w:val="00797219"/>
    <w:rsid w:val="00844BF7"/>
    <w:rsid w:val="008B3EF0"/>
    <w:rsid w:val="00957BCE"/>
    <w:rsid w:val="00A93C85"/>
    <w:rsid w:val="00B16848"/>
    <w:rsid w:val="00D62DEE"/>
    <w:rsid w:val="00F23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44663B"/>
  <w15:docId w15:val="{250F4A54-71AA-45E4-B4A2-14C8B2A34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="Century Gothic" w:hAnsi="Century Gothic" w:cs="Century Gothic"/>
        <w:lang w:val="cs" w:eastAsia="sk-SK" w:bidi="ar-SA"/>
      </w:rPr>
    </w:rPrDefault>
    <w:pPrDefault>
      <w:pPr>
        <w:spacing w:after="160" w:line="278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after="80"/>
      <w:outlineLvl w:val="0"/>
    </w:pPr>
    <w:rPr>
      <w:b/>
      <w:bCs/>
      <w:sz w:val="24"/>
      <w:szCs w:val="24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Nadpis7">
    <w:name w:val="heading 7"/>
    <w:link w:val="Nadpis7Char"/>
    <w:uiPriority w:val="9"/>
    <w:semiHidden/>
    <w:unhideWhenUsed/>
    <w:qFormat/>
    <w:rsid w:val="00F608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link w:val="Nadpis8Char"/>
    <w:uiPriority w:val="9"/>
    <w:semiHidden/>
    <w:unhideWhenUsed/>
    <w:qFormat/>
    <w:rsid w:val="00F608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link w:val="Nadpis9Char"/>
    <w:uiPriority w:val="9"/>
    <w:semiHidden/>
    <w:unhideWhenUsed/>
    <w:qFormat/>
    <w:rsid w:val="00F608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qFormat/>
    <w:pPr>
      <w:spacing w:after="80" w:line="240" w:lineRule="auto"/>
    </w:pPr>
    <w:rPr>
      <w:b/>
      <w:bCs/>
      <w:sz w:val="44"/>
      <w:szCs w:val="44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Nadpis1Char">
    <w:name w:val="Nadpis 1 Char"/>
    <w:aliases w:val="Mezinadpis Char"/>
    <w:basedOn w:val="Standardnpsmoodstavce"/>
    <w:uiPriority w:val="9"/>
    <w:rsid w:val="00054C23"/>
    <w:rPr>
      <w:rFonts w:ascii="Century Gothic" w:eastAsiaTheme="majorEastAsia" w:hAnsi="Century Gothic" w:cstheme="majorBidi"/>
      <w:b/>
      <w:bCs/>
    </w:rPr>
  </w:style>
  <w:style w:type="character" w:customStyle="1" w:styleId="Nadpis2Char">
    <w:name w:val="Nadpis 2 Char"/>
    <w:basedOn w:val="Standardnpsmoodstavce"/>
    <w:uiPriority w:val="9"/>
    <w:rsid w:val="00F608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uiPriority w:val="9"/>
    <w:semiHidden/>
    <w:rsid w:val="00F608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uiPriority w:val="9"/>
    <w:semiHidden/>
    <w:rsid w:val="00F6086B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uiPriority w:val="9"/>
    <w:semiHidden/>
    <w:rsid w:val="00F6086B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uiPriority w:val="9"/>
    <w:semiHidden/>
    <w:rsid w:val="00F6086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6086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6086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6086B"/>
    <w:rPr>
      <w:rFonts w:eastAsiaTheme="majorEastAsia" w:cstheme="majorBidi"/>
      <w:color w:val="272727" w:themeColor="text1" w:themeTint="D8"/>
    </w:rPr>
  </w:style>
  <w:style w:type="character" w:customStyle="1" w:styleId="NzovChar">
    <w:name w:val="Názov Char"/>
    <w:basedOn w:val="Standardnpsmoodstavce"/>
    <w:uiPriority w:val="10"/>
    <w:rsid w:val="00F6086B"/>
    <w:rPr>
      <w:rFonts w:ascii="Century Gothic" w:eastAsiaTheme="majorEastAsia" w:hAnsi="Century Gothic" w:cstheme="majorBidi"/>
      <w:b/>
      <w:spacing w:val="-10"/>
      <w:kern w:val="28"/>
      <w:sz w:val="44"/>
      <w:szCs w:val="56"/>
    </w:rPr>
  </w:style>
  <w:style w:type="character" w:customStyle="1" w:styleId="PodtitulChar">
    <w:name w:val="Podtitul Char"/>
    <w:basedOn w:val="Standardnpsmoodstavce"/>
    <w:uiPriority w:val="11"/>
    <w:rsid w:val="00F608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link w:val="CittChar"/>
    <w:uiPriority w:val="29"/>
    <w:rsid w:val="00F608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6086B"/>
    <w:rPr>
      <w:i/>
      <w:iCs/>
      <w:color w:val="404040" w:themeColor="text1" w:themeTint="BF"/>
    </w:rPr>
  </w:style>
  <w:style w:type="paragraph" w:styleId="Odstavecseseznamem">
    <w:name w:val="List Paragraph"/>
    <w:uiPriority w:val="34"/>
    <w:rsid w:val="00F6086B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rsid w:val="00F6086B"/>
    <w:rPr>
      <w:i/>
      <w:iCs/>
      <w:color w:val="0F4761" w:themeColor="accent1" w:themeShade="BF"/>
    </w:rPr>
  </w:style>
  <w:style w:type="paragraph" w:styleId="Vrazncitt">
    <w:name w:val="Intense Quote"/>
    <w:link w:val="VrazncittChar"/>
    <w:uiPriority w:val="30"/>
    <w:rsid w:val="00F608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6086B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rsid w:val="00F6086B"/>
    <w:rPr>
      <w:b/>
      <w:bCs/>
      <w:smallCaps/>
      <w:color w:val="0F4761" w:themeColor="accent1" w:themeShade="BF"/>
      <w:spacing w:val="5"/>
    </w:rPr>
  </w:style>
  <w:style w:type="paragraph" w:styleId="Zhlav">
    <w:name w:val="header"/>
    <w:link w:val="ZhlavChar"/>
    <w:uiPriority w:val="99"/>
    <w:unhideWhenUsed/>
    <w:rsid w:val="00F608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6086B"/>
    <w:rPr>
      <w:rFonts w:ascii="Century Gothic" w:hAnsi="Century Gothic"/>
      <w:sz w:val="22"/>
    </w:rPr>
  </w:style>
  <w:style w:type="paragraph" w:styleId="Zpat">
    <w:name w:val="footer"/>
    <w:link w:val="ZpatChar"/>
    <w:uiPriority w:val="99"/>
    <w:unhideWhenUsed/>
    <w:rsid w:val="00F608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6086B"/>
    <w:rPr>
      <w:rFonts w:ascii="Century Gothic" w:hAnsi="Century Gothic"/>
      <w:sz w:val="22"/>
    </w:rPr>
  </w:style>
  <w:style w:type="paragraph" w:customStyle="1" w:styleId="Perex">
    <w:name w:val="Perex"/>
    <w:link w:val="PerexChar"/>
    <w:qFormat/>
    <w:rsid w:val="000706D4"/>
    <w:pPr>
      <w:spacing w:before="240" w:line="276" w:lineRule="auto"/>
    </w:pPr>
    <w:rPr>
      <w:b/>
      <w:bCs/>
      <w:szCs w:val="22"/>
    </w:rPr>
  </w:style>
  <w:style w:type="character" w:customStyle="1" w:styleId="PerexChar">
    <w:name w:val="Perex Char"/>
    <w:basedOn w:val="Standardnpsmoodstavce"/>
    <w:link w:val="Perex"/>
    <w:rsid w:val="000706D4"/>
    <w:rPr>
      <w:rFonts w:ascii="Century Gothic" w:hAnsi="Century Gothic"/>
      <w:b/>
      <w:bCs/>
      <w:sz w:val="20"/>
      <w:szCs w:val="22"/>
    </w:rPr>
  </w:style>
  <w:style w:type="character" w:styleId="Hypertextovodkaz">
    <w:name w:val="Hyperlink"/>
    <w:basedOn w:val="Standardnpsmoodstavce"/>
    <w:uiPriority w:val="99"/>
    <w:unhideWhenUsed/>
    <w:rsid w:val="000706D4"/>
    <w:rPr>
      <w:color w:val="F15B4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0706D4"/>
    <w:rPr>
      <w:color w:val="605E5C"/>
      <w:shd w:val="clear" w:color="auto" w:fill="E1DFDD"/>
    </w:rPr>
  </w:style>
  <w:style w:type="paragraph" w:styleId="Bezmezer">
    <w:name w:val="No Spacing"/>
    <w:uiPriority w:val="1"/>
    <w:rsid w:val="000706D4"/>
    <w:pPr>
      <w:spacing w:after="0" w:line="240" w:lineRule="auto"/>
    </w:pPr>
  </w:style>
  <w:style w:type="paragraph" w:customStyle="1" w:styleId="Patika">
    <w:name w:val="Patička"/>
    <w:link w:val="PatikaChar"/>
    <w:qFormat/>
    <w:rsid w:val="009A0B7B"/>
    <w:rPr>
      <w:i/>
      <w:iCs/>
      <w:color w:val="383D41"/>
      <w:sz w:val="18"/>
      <w:szCs w:val="22"/>
    </w:rPr>
  </w:style>
  <w:style w:type="character" w:customStyle="1" w:styleId="PatikaChar">
    <w:name w:val="Patička Char"/>
    <w:basedOn w:val="Standardnpsmoodstavce"/>
    <w:link w:val="Patika"/>
    <w:rsid w:val="009A0B7B"/>
    <w:rPr>
      <w:rFonts w:ascii="Century Gothic" w:hAnsi="Century Gothic"/>
      <w:i/>
      <w:iCs/>
      <w:color w:val="383D41"/>
      <w:sz w:val="18"/>
      <w:szCs w:val="22"/>
    </w:rPr>
  </w:style>
  <w:style w:type="paragraph" w:customStyle="1" w:styleId="Mezinadpis2">
    <w:name w:val="Mezinadpis 2"/>
    <w:link w:val="Mezinadpis2Char"/>
    <w:qFormat/>
    <w:rsid w:val="00F8796D"/>
    <w:rPr>
      <w:b/>
      <w:sz w:val="24"/>
      <w:szCs w:val="22"/>
    </w:rPr>
  </w:style>
  <w:style w:type="character" w:customStyle="1" w:styleId="Mezinadpis2Char">
    <w:name w:val="Mezinadpis 2 Char"/>
    <w:basedOn w:val="Nadpis1Char"/>
    <w:link w:val="Mezinadpis2"/>
    <w:rsid w:val="00F8796D"/>
    <w:rPr>
      <w:rFonts w:ascii="Century Gothic" w:eastAsiaTheme="majorEastAsia" w:hAnsi="Century Gothic" w:cstheme="majorBidi"/>
      <w:b/>
      <w:bCs w:val="0"/>
      <w:sz w:val="24"/>
      <w:szCs w:val="22"/>
    </w:rPr>
  </w:style>
  <w:style w:type="paragraph" w:customStyle="1" w:styleId="patikanadpis">
    <w:name w:val="patička nadpis"/>
    <w:link w:val="patikanadpisChar"/>
    <w:qFormat/>
    <w:rsid w:val="004C44DB"/>
    <w:rPr>
      <w:color w:val="383D41"/>
      <w:sz w:val="22"/>
      <w:szCs w:val="22"/>
    </w:rPr>
  </w:style>
  <w:style w:type="character" w:customStyle="1" w:styleId="patikanadpisChar">
    <w:name w:val="patička nadpis Char"/>
    <w:basedOn w:val="Nadpis1Char"/>
    <w:link w:val="patikanadpis"/>
    <w:rsid w:val="004C44DB"/>
    <w:rPr>
      <w:rFonts w:ascii="Century Gothic" w:eastAsiaTheme="majorEastAsia" w:hAnsi="Century Gothic" w:cstheme="majorBidi"/>
      <w:b/>
      <w:bCs/>
      <w:color w:val="383D41"/>
      <w:sz w:val="22"/>
      <w:szCs w:val="22"/>
    </w:rPr>
  </w:style>
  <w:style w:type="paragraph" w:styleId="Revize">
    <w:name w:val="Revision"/>
    <w:hidden/>
    <w:uiPriority w:val="99"/>
    <w:semiHidden/>
    <w:rsid w:val="00CC05C6"/>
    <w:pPr>
      <w:spacing w:after="0" w:line="240" w:lineRule="auto"/>
    </w:pPr>
  </w:style>
  <w:style w:type="character" w:styleId="Odkaznakoment">
    <w:name w:val="annotation reference"/>
    <w:basedOn w:val="Standardnpsmoodstavce"/>
    <w:uiPriority w:val="99"/>
    <w:semiHidden/>
    <w:unhideWhenUsed/>
    <w:rsid w:val="00EE4C69"/>
    <w:rPr>
      <w:sz w:val="16"/>
      <w:szCs w:val="16"/>
    </w:rPr>
  </w:style>
  <w:style w:type="paragraph" w:styleId="Textkomente">
    <w:name w:val="annotation text"/>
    <w:link w:val="TextkomenteChar"/>
    <w:uiPriority w:val="99"/>
    <w:unhideWhenUsed/>
    <w:rsid w:val="00EE4C69"/>
    <w:pPr>
      <w:spacing w:line="240" w:lineRule="auto"/>
    </w:pPr>
  </w:style>
  <w:style w:type="character" w:customStyle="1" w:styleId="TextkomenteChar">
    <w:name w:val="Text komentáře Char"/>
    <w:basedOn w:val="Standardnpsmoodstavce"/>
    <w:link w:val="Textkomente"/>
    <w:uiPriority w:val="99"/>
    <w:rsid w:val="00EE4C69"/>
    <w:rPr>
      <w:rFonts w:ascii="Century Gothic" w:hAnsi="Century Gothic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E4C6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E4C69"/>
    <w:rPr>
      <w:rFonts w:ascii="Century Gothic" w:hAnsi="Century Gothic"/>
      <w:b/>
      <w:bCs/>
      <w:sz w:val="20"/>
      <w:szCs w:val="20"/>
    </w:rPr>
  </w:style>
  <w:style w:type="character" w:styleId="Sledovanodkaz">
    <w:name w:val="FollowedHyperlink"/>
    <w:basedOn w:val="Standardnpsmoodstavce"/>
    <w:uiPriority w:val="99"/>
    <w:semiHidden/>
    <w:unhideWhenUsed/>
    <w:rsid w:val="0058103D"/>
    <w:rPr>
      <w:color w:val="F15B4F" w:themeColor="followedHyperlink"/>
      <w:u w:val="single"/>
    </w:rPr>
  </w:style>
  <w:style w:type="paragraph" w:customStyle="1" w:styleId="Titulek1">
    <w:name w:val="Titulek1"/>
    <w:uiPriority w:val="35"/>
    <w:semiHidden/>
    <w:unhideWhenUsed/>
    <w:qFormat/>
    <w:rsid w:val="00992706"/>
    <w:pPr>
      <w:spacing w:after="200" w:line="240" w:lineRule="auto"/>
      <w:jc w:val="left"/>
    </w:pPr>
    <w:rPr>
      <w:rFonts w:ascii="Aptos" w:hAnsi="Aptos"/>
      <w:i/>
      <w:iCs/>
      <w:color w:val="0E2841"/>
      <w:sz w:val="18"/>
      <w:szCs w:val="18"/>
    </w:rPr>
  </w:style>
  <w:style w:type="paragraph" w:styleId="Textpoznpodarou">
    <w:name w:val="footnote text"/>
    <w:link w:val="TextpoznpodarouChar"/>
    <w:uiPriority w:val="99"/>
    <w:semiHidden/>
    <w:unhideWhenUsed/>
    <w:rsid w:val="00B32292"/>
    <w:pPr>
      <w:spacing w:after="0" w:line="240" w:lineRule="auto"/>
    </w:p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B32292"/>
    <w:rPr>
      <w:rFonts w:ascii="Century Gothic" w:hAnsi="Century Gothic"/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B32292"/>
    <w:rPr>
      <w:vertAlign w:val="superscript"/>
    </w:rPr>
  </w:style>
  <w:style w:type="paragraph" w:styleId="Normlnweb">
    <w:name w:val="Normal (Web)"/>
    <w:uiPriority w:val="99"/>
    <w:semiHidden/>
    <w:unhideWhenUsed/>
    <w:rsid w:val="0026749C"/>
    <w:rPr>
      <w:rFonts w:ascii="Times New Roman" w:hAnsi="Times New Roman" w:cs="Times New Roman"/>
      <w:sz w:val="24"/>
    </w:rPr>
  </w:style>
  <w:style w:type="paragraph" w:customStyle="1" w:styleId="paragraph">
    <w:name w:val="paragraph"/>
    <w:rsid w:val="007D098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lang w:val="sk-SK"/>
    </w:rPr>
  </w:style>
  <w:style w:type="character" w:customStyle="1" w:styleId="normaltextrun">
    <w:name w:val="normaltextrun"/>
    <w:basedOn w:val="Standardnpsmoodstavce"/>
    <w:rsid w:val="007D098A"/>
  </w:style>
  <w:style w:type="character" w:customStyle="1" w:styleId="eop">
    <w:name w:val="eop"/>
    <w:basedOn w:val="Standardnpsmoodstavce"/>
    <w:rsid w:val="007D098A"/>
  </w:style>
  <w:style w:type="paragraph" w:styleId="Podnadpis">
    <w:name w:val="Subtitle"/>
    <w:basedOn w:val="Normln"/>
    <w:next w:val="Normln"/>
    <w:uiPriority w:val="11"/>
    <w:qFormat/>
    <w:rPr>
      <w:color w:val="595959"/>
      <w:sz w:val="28"/>
      <w:szCs w:val="28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istadoprava.cz/stanice-ceska-republika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david.vedral@insighters.c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istadoprava.cz" TargetMode="Externa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1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F15B4F"/>
      </a:hlink>
      <a:folHlink>
        <a:srgbClr val="F15B4F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5fWLNXjL6dJq1jfQ66LriEwUbCw==">CgMxLjA4AGopChRzdWdnZXN0LnQ1bWRkcXh5dnc4cxIRU3RhbmlzbGF2IFDFmWlieWxqKQoUc3VnZ2VzdC52YmU5M211anFsbTISEVN0YW5pc2xhdiBQxZlpYnlsaikKFHN1Z2dlc3QuMWo2Z3hscmgweGxjEhFTdGFuaXNsYXYgUMWZaWJ5bGopChRzdWdnZXN0LngwaHJhdTl6eDYwahIRU3RhbmlzbGF2IFDFmWlieWxqKQoUc3VnZ2VzdC44aDcyeDc1bjZrbncSEVN0YW5pc2xhdiBQxZlpYnlsaikKFHN1Z2dlc3QuYjNndTk1dGRzeWlxEhFTdGFuaXNsYXYgUMWZaWJ5bGopChRzdWdnZXN0LjZieXV6eTc0NDMxbRIRU3RhbmlzbGF2IFDFmWlieWxqKQoUc3VnZ2VzdC4zZzhuMmNmaHN5eHkSEVN0YW5pc2xhdiBQxZlpYnlsaikKFHN1Z2dlc3QueWQwczFuYzIyYW1zEhFTdGFuaXNsYXYgUMWZaWJ5bGopChRzdWdnZXN0Ljl3MncyYXJhdTJ6ORIRU3RhbmlzbGF2IFDFmWlieWxqKQoUc3VnZ2VzdC5xd2Yzb2NkMXp3aGsSEVN0YW5pc2xhdiBQxZlpYnlsaikKFHN1Z2dlc3QuZGE1Ym8wZXV6dTNnEhFTdGFuaXNsYXYgUMWZaWJ5bGopChRzdWdnZXN0LjljZmVidGNjeDd5MhIRU3RhbmlzbGF2IFDFmWlieWxqKQoUc3VnZ2VzdC5yNmR5Mjd4b2ZyNmoSEVN0YW5pc2xhdiBQxZlpYnlsciExems3ZDVQQk0xajN6LW45ZVBfSGNqVkI4aUd2dnl3OT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928</Words>
  <Characters>5476</Characters>
  <Application>Microsoft Office Word</Application>
  <DocSecurity>4</DocSecurity>
  <Lines>45</Lines>
  <Paragraphs>12</Paragraphs>
  <ScaleCrop>false</ScaleCrop>
  <Company/>
  <LinksUpToDate>false</LinksUpToDate>
  <CharactersWithSpaces>6392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Matěj Fürst</dc:creator>
  <cp:lastModifiedBy>Luberová Kateřina</cp:lastModifiedBy>
  <cp:revision>2</cp:revision>
  <dcterms:created xsi:type="dcterms:W3CDTF">2026-09-22T10:41:00Z</dcterms:created>
  <dcterms:modified xsi:type="dcterms:W3CDTF">2026-09-22T10:41:00Z</dcterms:modified>
</cp:coreProperties>
</file>