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147E" w14:textId="16D51144" w:rsidR="00581B48" w:rsidRDefault="00581B48" w:rsidP="649AE83A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proofErr w:type="spellStart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TipCars</w:t>
      </w:r>
      <w:proofErr w:type="spellEnd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D24EA2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I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ndex: </w:t>
      </w:r>
      <w:r w:rsidRPr="00581B48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65 % ojetin odpovídá normě EURO 6, trh nadále nabízí příznivé podmínky pro kupující</w:t>
      </w:r>
    </w:p>
    <w:p w14:paraId="6D831E70" w14:textId="00553E97" w:rsidR="649AE83A" w:rsidRPr="00950A92" w:rsidRDefault="00C20B8D" w:rsidP="649AE83A">
      <w:pPr>
        <w:pStyle w:val="Perex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93677" wp14:editId="45D590A5">
            <wp:simplePos x="0" y="0"/>
            <wp:positionH relativeFrom="margin">
              <wp:posOffset>14605</wp:posOffset>
            </wp:positionH>
            <wp:positionV relativeFrom="paragraph">
              <wp:posOffset>822325</wp:posOffset>
            </wp:positionV>
            <wp:extent cx="2710180" cy="1645285"/>
            <wp:effectExtent l="0" t="0" r="0" b="5715"/>
            <wp:wrapSquare wrapText="bothSides"/>
            <wp:docPr id="70903040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30404" name="Obrázo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6D4" w:rsidRPr="00950A92">
        <w:t xml:space="preserve">Praha, </w:t>
      </w:r>
      <w:r w:rsidR="00504405">
        <w:t>23</w:t>
      </w:r>
      <w:r w:rsidR="000706D4" w:rsidRPr="00950A92">
        <w:t xml:space="preserve">. </w:t>
      </w:r>
      <w:r w:rsidR="00515FAE">
        <w:t>června</w:t>
      </w:r>
      <w:r w:rsidR="000706D4" w:rsidRPr="00950A92">
        <w:t xml:space="preserve"> 202</w:t>
      </w:r>
      <w:r w:rsidR="00BB2E86" w:rsidRPr="00950A92">
        <w:t>5</w:t>
      </w:r>
      <w:r w:rsidR="000706D4" w:rsidRPr="00950A92">
        <w:t xml:space="preserve"> –</w:t>
      </w:r>
      <w:r w:rsidR="00624D51" w:rsidRPr="00950A92">
        <w:t xml:space="preserve"> </w:t>
      </w:r>
      <w:r w:rsidR="0029354B" w:rsidRPr="0029354B">
        <w:t xml:space="preserve">Hodnota </w:t>
      </w:r>
      <w:proofErr w:type="spellStart"/>
      <w:r w:rsidR="0029354B" w:rsidRPr="0029354B">
        <w:t>TipCars</w:t>
      </w:r>
      <w:proofErr w:type="spellEnd"/>
      <w:r w:rsidR="0029354B" w:rsidRPr="0029354B">
        <w:t xml:space="preserve"> Indexu dosáhla v květnu 908 bodů – jen těsně nad historickým minimem z předchozího měsíce. Současně výrazně roste podíl aut s nejpřísnější emisní normou EURO</w:t>
      </w:r>
      <w:r w:rsidR="0029354B" w:rsidRPr="0029354B">
        <w:rPr>
          <w:rFonts w:ascii="Arial" w:hAnsi="Arial" w:cs="Arial"/>
        </w:rPr>
        <w:t> </w:t>
      </w:r>
      <w:r w:rsidR="0029354B" w:rsidRPr="0029354B">
        <w:t>6 – ta nyní tvoří téměř dvě třetiny inzerátů, u nichž je emisní norma uvedena, zatímco starší modely s normami EURO</w:t>
      </w:r>
      <w:r w:rsidR="0029354B" w:rsidRPr="0029354B">
        <w:rPr>
          <w:rFonts w:ascii="Arial" w:hAnsi="Arial" w:cs="Arial"/>
        </w:rPr>
        <w:t> </w:t>
      </w:r>
      <w:r w:rsidR="0029354B" w:rsidRPr="0029354B">
        <w:t>0 až</w:t>
      </w:r>
      <w:r w:rsidR="0029354B" w:rsidRPr="0029354B">
        <w:rPr>
          <w:rFonts w:ascii="Arial" w:hAnsi="Arial" w:cs="Arial"/>
        </w:rPr>
        <w:t> </w:t>
      </w:r>
      <w:r w:rsidR="0029354B" w:rsidRPr="0029354B">
        <w:t>EURO</w:t>
      </w:r>
      <w:r w:rsidR="0029354B" w:rsidRPr="0029354B">
        <w:rPr>
          <w:rFonts w:ascii="Arial" w:hAnsi="Arial" w:cs="Arial"/>
        </w:rPr>
        <w:t> </w:t>
      </w:r>
      <w:r w:rsidR="0029354B" w:rsidRPr="0029354B">
        <w:t>3 představují už jen 4</w:t>
      </w:r>
      <w:r w:rsidR="0029354B" w:rsidRPr="0029354B">
        <w:rPr>
          <w:rFonts w:ascii="Arial" w:hAnsi="Arial" w:cs="Arial"/>
        </w:rPr>
        <w:t> </w:t>
      </w:r>
      <w:r w:rsidR="0029354B" w:rsidRPr="0029354B">
        <w:t>%.</w:t>
      </w:r>
    </w:p>
    <w:p w14:paraId="25BEC52B" w14:textId="77777777" w:rsidR="0029354B" w:rsidRDefault="0029354B" w:rsidP="00EB51CB">
      <w:r w:rsidRPr="0029354B">
        <w:t xml:space="preserve">Index se oproti dubnu lehce zvýšil o 21 bodů. Přesto se stále pohybuje na velmi nízké úrovni – nižší byl pouze v dubnu letošního roku. </w:t>
      </w:r>
      <w:proofErr w:type="spellStart"/>
      <w:r w:rsidRPr="0029354B">
        <w:t>TipCars</w:t>
      </w:r>
      <w:proofErr w:type="spellEnd"/>
      <w:r w:rsidRPr="0029354B">
        <w:t xml:space="preserve"> Index, který sleduje cenovou dostupnost deseti nejvyhledávanějších modelů ojetin, tak i nadále potvrzuje příznivé podmínky pro kupující. </w:t>
      </w:r>
      <w:r w:rsidRPr="0029354B">
        <w:rPr>
          <w:i/>
          <w:iCs/>
        </w:rPr>
        <w:t>„Současná situace na trhu s ojetinami je velmi výhodná. I přes mírný nárůst hodnoty Indexu zůstávají ceny dostupné a pořízení ojetého vozu se nadále vyplatí,“</w:t>
      </w:r>
      <w:r w:rsidRPr="0029354B">
        <w:t xml:space="preserve"> komentuje výsledky </w:t>
      </w:r>
      <w:r w:rsidRPr="0029354B">
        <w:rPr>
          <w:b/>
          <w:bCs/>
        </w:rPr>
        <w:t xml:space="preserve">Marek </w:t>
      </w:r>
      <w:proofErr w:type="spellStart"/>
      <w:r w:rsidRPr="0029354B">
        <w:rPr>
          <w:b/>
          <w:bCs/>
        </w:rPr>
        <w:t>Knieža</w:t>
      </w:r>
      <w:proofErr w:type="spellEnd"/>
      <w:r w:rsidRPr="0029354B">
        <w:rPr>
          <w:b/>
          <w:bCs/>
        </w:rPr>
        <w:t xml:space="preserve">, ředitel motoristického inzertního portálu </w:t>
      </w:r>
      <w:proofErr w:type="spellStart"/>
      <w:r w:rsidRPr="0029354B">
        <w:rPr>
          <w:b/>
          <w:bCs/>
        </w:rPr>
        <w:t>TipCars</w:t>
      </w:r>
      <w:proofErr w:type="spellEnd"/>
      <w:r w:rsidRPr="0029354B">
        <w:t>. Dodává, že růst Indexu souvisí s mírným poklesem nabídky – počet inzerátů sledovaných modelů klesl z dubnových 16</w:t>
      </w:r>
      <w:r w:rsidRPr="0029354B">
        <w:rPr>
          <w:rFonts w:ascii="Arial" w:hAnsi="Arial" w:cs="Arial"/>
        </w:rPr>
        <w:t> </w:t>
      </w:r>
      <w:r w:rsidRPr="0029354B">
        <w:t>481 na květnových 16</w:t>
      </w:r>
      <w:r w:rsidRPr="0029354B">
        <w:rPr>
          <w:rFonts w:ascii="Arial" w:hAnsi="Arial" w:cs="Arial"/>
        </w:rPr>
        <w:t> </w:t>
      </w:r>
      <w:r w:rsidRPr="0029354B">
        <w:t>207, tedy o 1,7</w:t>
      </w:r>
      <w:r w:rsidRPr="0029354B">
        <w:rPr>
          <w:rFonts w:ascii="Arial" w:hAnsi="Arial" w:cs="Arial"/>
        </w:rPr>
        <w:t> </w:t>
      </w:r>
      <w:r w:rsidRPr="0029354B">
        <w:t>%.</w:t>
      </w:r>
    </w:p>
    <w:p w14:paraId="7B4CD80F" w14:textId="3F331523" w:rsidR="003F0CCE" w:rsidRDefault="003F0CCE" w:rsidP="00EB51CB">
      <w:r w:rsidRPr="003F0CCE">
        <w:t>Ceny sledovaných modelů v květnu meziměsíčně mírně klesaly. Největší pokles zaznamenal Ford Focus, jehož průměrná cena se oproti dubnu snížila téměř o 42</w:t>
      </w:r>
      <w:r w:rsidRPr="003F0CCE">
        <w:rPr>
          <w:rFonts w:ascii="Arial" w:hAnsi="Arial" w:cs="Arial"/>
        </w:rPr>
        <w:t> </w:t>
      </w:r>
      <w:r w:rsidRPr="003F0CCE">
        <w:t xml:space="preserve">000 Kč. Naopak výraznější nárůst vykázala cena modelu BMW 5 </w:t>
      </w:r>
      <w:proofErr w:type="spellStart"/>
      <w:r w:rsidRPr="003F0CCE">
        <w:t>Series</w:t>
      </w:r>
      <w:proofErr w:type="spellEnd"/>
      <w:r w:rsidRPr="003F0CCE">
        <w:t>, která meziměsíčně vzrostla o 39</w:t>
      </w:r>
      <w:r w:rsidRPr="003F0CCE">
        <w:rPr>
          <w:rFonts w:ascii="Arial" w:hAnsi="Arial" w:cs="Arial"/>
        </w:rPr>
        <w:t> </w:t>
      </w:r>
      <w:r w:rsidRPr="003F0CCE">
        <w:t>862 Kč.</w:t>
      </w:r>
    </w:p>
    <w:p w14:paraId="77D9ADCB" w14:textId="02E8D99E" w:rsidR="003768AB" w:rsidRDefault="003F0CCE" w:rsidP="00EB51CB">
      <w:r w:rsidRPr="003F0CCE">
        <w:t xml:space="preserve">Meziročně však hodnota </w:t>
      </w:r>
      <w:proofErr w:type="spellStart"/>
      <w:r w:rsidRPr="003F0CCE">
        <w:t>TipCars</w:t>
      </w:r>
      <w:proofErr w:type="spellEnd"/>
      <w:r w:rsidRPr="003F0CCE">
        <w:t xml:space="preserve"> Indexu výrazně klesla – z 1</w:t>
      </w:r>
      <w:r w:rsidRPr="003F0CCE">
        <w:rPr>
          <w:rFonts w:ascii="Arial" w:hAnsi="Arial" w:cs="Arial"/>
        </w:rPr>
        <w:t> </w:t>
      </w:r>
      <w:r w:rsidRPr="003F0CCE">
        <w:t>115,1 bodu v květnu 2024 na aktuálních 908 bodů. To představuje pokles o 23</w:t>
      </w:r>
      <w:r w:rsidRPr="003F0CCE">
        <w:rPr>
          <w:rFonts w:ascii="Arial" w:hAnsi="Arial" w:cs="Arial"/>
        </w:rPr>
        <w:t> </w:t>
      </w:r>
      <w:r w:rsidRPr="003F0CCE">
        <w:t>%. Důvodem je nárůst nabídky ojetých vozů, která meziročně vzrostla o 11</w:t>
      </w:r>
      <w:r w:rsidRPr="003F0CCE">
        <w:rPr>
          <w:rFonts w:ascii="Arial" w:hAnsi="Arial" w:cs="Arial"/>
        </w:rPr>
        <w:t> </w:t>
      </w:r>
      <w:r w:rsidRPr="003F0CCE">
        <w:t>%. Největší přírůstek zaznamenala Škoda Kodiaq – počet inzerovaných kusů se během uplynulého roku zvýšil o 30</w:t>
      </w:r>
      <w:r w:rsidRPr="003F0CCE">
        <w:rPr>
          <w:rFonts w:ascii="Arial" w:hAnsi="Arial" w:cs="Arial"/>
        </w:rPr>
        <w:t> </w:t>
      </w:r>
      <w:r w:rsidRPr="003F0CCE">
        <w:t>%. Výrazný růst nabídky hlásí také Mercedes E-</w:t>
      </w:r>
      <w:proofErr w:type="spellStart"/>
      <w:r w:rsidRPr="003F0CCE">
        <w:t>Class</w:t>
      </w:r>
      <w:proofErr w:type="spellEnd"/>
      <w:r w:rsidRPr="003F0CCE">
        <w:t xml:space="preserve"> (+25</w:t>
      </w:r>
      <w:r w:rsidRPr="003F0CCE">
        <w:rPr>
          <w:rFonts w:ascii="Arial" w:hAnsi="Arial" w:cs="Arial"/>
        </w:rPr>
        <w:t> </w:t>
      </w:r>
      <w:r w:rsidRPr="003F0CCE">
        <w:t xml:space="preserve">%). Naopak u modelů Škoda Fabia, Ford Focus a BMW 5 </w:t>
      </w:r>
      <w:proofErr w:type="spellStart"/>
      <w:r w:rsidRPr="003F0CCE">
        <w:t>Series</w:t>
      </w:r>
      <w:proofErr w:type="spellEnd"/>
      <w:r w:rsidRPr="003F0CCE">
        <w:t xml:space="preserve"> došlo meziročně k poklesu počtu inzerovaných vozidel</w:t>
      </w:r>
      <w:r w:rsidR="003768AB" w:rsidRPr="003768AB">
        <w:t>.</w:t>
      </w:r>
    </w:p>
    <w:p w14:paraId="4DDC5193" w14:textId="2FF08836" w:rsidR="00515FAE" w:rsidRDefault="00515FAE" w:rsidP="00515FAE">
      <w:pPr>
        <w:pStyle w:val="Mezinadpis2"/>
      </w:pPr>
      <w:r w:rsidRPr="00515FAE">
        <w:t>EURO normy: stále přísnější limity a nová omezení v evropských metropolích</w:t>
      </w:r>
    </w:p>
    <w:p w14:paraId="31B32A4C" w14:textId="4CB80A5A" w:rsidR="003F0CCE" w:rsidRDefault="003F0CCE" w:rsidP="00EB51CB">
      <w:r w:rsidRPr="003F0CCE">
        <w:t xml:space="preserve">Červnové vydání </w:t>
      </w:r>
      <w:proofErr w:type="spellStart"/>
      <w:r w:rsidRPr="003F0CCE">
        <w:t>TipCars</w:t>
      </w:r>
      <w:proofErr w:type="spellEnd"/>
      <w:r w:rsidRPr="003F0CCE">
        <w:t xml:space="preserve"> Indexu se zaměřuje na emisní normy u ojetých vozidel – téma, které bude pro řadu řidičů a kupujících stále důležitější. Důvodem je mimo jiné postupné zavádění nízkoemisních zón a zpřísňující se předpisy v evropských městech. </w:t>
      </w:r>
      <w:hyperlink r:id="rId8" w:history="1">
        <w:r w:rsidRPr="0029354B">
          <w:rPr>
            <w:rStyle w:val="Hypertextovodkaz"/>
          </w:rPr>
          <w:t>Emisní normy EURO</w:t>
        </w:r>
      </w:hyperlink>
      <w:r w:rsidRPr="003F0CCE">
        <w:t xml:space="preserve"> stanovují maximální množství škodlivin, které může spalovací motor vypouštět do ovzduší. Tyto limity se v průběhu let postupně zpřísňují v souladu s legislativou Evropské unie, jejímž cílem je omezit negativní dopady dopravy na životní prostředí a lidské zdraví. Každá emisní norma stanovuje povolené hodnoty například pro oxidy dusíku, oxid uhelnatý, nespálené uhlovodíky nebo pevné částice. První norma EURO byla v Evropské unii zavedena v roce 1992 a od té doby postupně přicházely nové, přísnější verze – většinou v pravidelných čtyřletých intervalech.</w:t>
      </w:r>
    </w:p>
    <w:p w14:paraId="5DB5DC02" w14:textId="36B33AD4" w:rsidR="003F0CCE" w:rsidRDefault="003F0CCE" w:rsidP="00EB51CB">
      <w:r w:rsidRPr="003F0CCE">
        <w:t>V současnosti je nejaktuálnější emisní normou EURO</w:t>
      </w:r>
      <w:r w:rsidRPr="003F0CCE">
        <w:rPr>
          <w:rFonts w:ascii="Arial" w:hAnsi="Arial" w:cs="Arial"/>
        </w:rPr>
        <w:t> </w:t>
      </w:r>
      <w:r w:rsidRPr="003F0CCE">
        <w:t>6. Naopak označení EURO</w:t>
      </w:r>
      <w:r w:rsidRPr="003F0CCE">
        <w:rPr>
          <w:rFonts w:ascii="Arial" w:hAnsi="Arial" w:cs="Arial"/>
        </w:rPr>
        <w:t> </w:t>
      </w:r>
      <w:r w:rsidRPr="003F0CCE">
        <w:t>0 až EURO</w:t>
      </w:r>
      <w:r w:rsidRPr="003F0CCE">
        <w:rPr>
          <w:rFonts w:ascii="Arial" w:hAnsi="Arial" w:cs="Arial"/>
        </w:rPr>
        <w:t> </w:t>
      </w:r>
      <w:r w:rsidRPr="003F0CCE">
        <w:t xml:space="preserve">3 se týká starších vozidel, která již často nesplňují podmínky pro vjezd do některých evropských </w:t>
      </w:r>
      <w:r w:rsidRPr="003F0CCE">
        <w:lastRenderedPageBreak/>
        <w:t xml:space="preserve">měst. Mnoho metropolí totiž zavádí </w:t>
      </w:r>
      <w:hyperlink r:id="rId9" w:history="1">
        <w:r w:rsidRPr="0029354B">
          <w:rPr>
            <w:rStyle w:val="Hypertextovodkaz"/>
          </w:rPr>
          <w:t>nízkoemisní zóny</w:t>
        </w:r>
      </w:hyperlink>
      <w:r w:rsidRPr="003F0CCE">
        <w:t>, které omezují nebo zcela zakazují vjezd vozidlům s nižší emisní normou.</w:t>
      </w:r>
    </w:p>
    <w:p w14:paraId="47D802BB" w14:textId="77777777" w:rsidR="003F0CCE" w:rsidRDefault="003F0CCE" w:rsidP="00515FAE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3F0CCE">
        <w:rPr>
          <w:rFonts w:eastAsiaTheme="minorHAnsi" w:cstheme="minorBidi"/>
          <w:b w:val="0"/>
          <w:bCs w:val="0"/>
          <w:sz w:val="20"/>
          <w:szCs w:val="24"/>
        </w:rPr>
        <w:t>Například v Londýně nesmí do nízkoemisní zóny vjíždět dieselová vozidla s normou pod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6 a benzinová auta, která nesplňují alespoň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4. Podobně přísná pravidla platí i v Bruselu, kde je vjezd povolen dieselům od normy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5 a benzinům od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2. V Římě je vjezd do centra omezen na benzinová vozidla s minimálně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2 a diesely od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4. Mezi nejpřísnější aktuálně patří regulace ve Stockholmu – tam mohou do centra města vjíždět pouze osobní vozy splňující normu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6.</w:t>
      </w:r>
    </w:p>
    <w:p w14:paraId="6959E2BC" w14:textId="0A966CC9" w:rsidR="00515FAE" w:rsidRDefault="00515FAE" w:rsidP="00515FAE">
      <w:pPr>
        <w:pStyle w:val="Mezinadpis2"/>
      </w:pPr>
      <w:r w:rsidRPr="00515FAE">
        <w:t>Podíl vozidel s normou EURO 6 nadále roste, starší modely ustupují</w:t>
      </w:r>
    </w:p>
    <w:p w14:paraId="5DA260B5" w14:textId="77777777" w:rsidR="003F0CCE" w:rsidRDefault="003F0CCE" w:rsidP="00515FAE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3F0CCE">
        <w:rPr>
          <w:rFonts w:eastAsiaTheme="minorHAnsi" w:cstheme="minorBidi"/>
          <w:b w:val="0"/>
          <w:bCs w:val="0"/>
          <w:sz w:val="20"/>
          <w:szCs w:val="24"/>
        </w:rPr>
        <w:t>Z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 xml:space="preserve">dat </w:t>
      </w:r>
      <w:proofErr w:type="spellStart"/>
      <w:r w:rsidRPr="003F0CCE">
        <w:rPr>
          <w:rFonts w:eastAsiaTheme="minorHAnsi" w:cstheme="minorBidi"/>
          <w:b w:val="0"/>
          <w:bCs w:val="0"/>
          <w:sz w:val="20"/>
          <w:szCs w:val="24"/>
        </w:rPr>
        <w:t>TipCars</w:t>
      </w:r>
      <w:proofErr w:type="spellEnd"/>
      <w:r w:rsidRPr="003F0CCE">
        <w:rPr>
          <w:rFonts w:eastAsiaTheme="minorHAnsi" w:cstheme="minorBidi"/>
          <w:b w:val="0"/>
          <w:bCs w:val="0"/>
          <w:sz w:val="20"/>
          <w:szCs w:val="24"/>
        </w:rPr>
        <w:t xml:space="preserve"> vyplývá, že podíl ojetých vozidel splňujících nejnovější emisní normu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 xml:space="preserve">6 se oproti období 2022–2023 výrazně zvýšil. 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„V současnosti tvoří vozy s normou EURO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6 téměř 65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% všech ojetin, u nichž je emisní norma v inzerátu uvedena. Jde o nárůst oproti roku 2023, kdy tento podíl činil 53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%. Naopak výrazně ubylo starších vozidel s normami EURO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0 až EURO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3 – zatímco loni představovala 10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% nabídky, nyní je to jen 4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%. Podíl těchto vozů tak klesl na méně než polovinu. Pokles zaznamenala rovněž přechodová skupina s normami EURO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>4 a EURO</w:t>
      </w:r>
      <w:r w:rsidRPr="0029354B">
        <w:rPr>
          <w:rFonts w:ascii="Arial" w:eastAsiaTheme="minorHAnsi" w:hAnsi="Arial" w:cs="Arial"/>
          <w:b w:val="0"/>
          <w:bCs w:val="0"/>
          <w:i/>
          <w:iCs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sz w:val="20"/>
          <w:szCs w:val="24"/>
        </w:rPr>
        <w:t xml:space="preserve">5, která nyní dohromady tvoří zhruba třetinu nabídky,“ 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 xml:space="preserve">uvádí </w:t>
      </w:r>
      <w:r w:rsidRPr="0029354B">
        <w:rPr>
          <w:rFonts w:eastAsiaTheme="minorHAnsi" w:cstheme="minorBidi"/>
          <w:sz w:val="20"/>
          <w:szCs w:val="24"/>
        </w:rPr>
        <w:t xml:space="preserve">Marek </w:t>
      </w:r>
      <w:proofErr w:type="spellStart"/>
      <w:r w:rsidRPr="0029354B">
        <w:rPr>
          <w:rFonts w:eastAsiaTheme="minorHAnsi" w:cstheme="minorBidi"/>
          <w:sz w:val="20"/>
          <w:szCs w:val="24"/>
        </w:rPr>
        <w:t>Knieža</w:t>
      </w:r>
      <w:proofErr w:type="spellEnd"/>
      <w:r w:rsidRPr="003F0CCE">
        <w:rPr>
          <w:rFonts w:eastAsiaTheme="minorHAnsi" w:cstheme="minorBidi"/>
          <w:b w:val="0"/>
          <w:bCs w:val="0"/>
          <w:sz w:val="20"/>
          <w:szCs w:val="24"/>
        </w:rPr>
        <w:t>.</w:t>
      </w:r>
    </w:p>
    <w:p w14:paraId="500D562E" w14:textId="77777777" w:rsidR="003F0CCE" w:rsidRDefault="003F0CCE" w:rsidP="00515FAE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3F0CCE">
        <w:rPr>
          <w:rFonts w:eastAsiaTheme="minorHAnsi" w:cstheme="minorBidi"/>
          <w:b w:val="0"/>
          <w:bCs w:val="0"/>
          <w:sz w:val="20"/>
          <w:szCs w:val="24"/>
        </w:rPr>
        <w:t>Změny ve skladbě emisních norem se promítají i do cen jednotlivých skupin. Ve srovnání s obdobím 2022–2023 je patrný pokles cen vozidel s normami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3 až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5, u nichž zároveň narůstá medián stáří. S pokračujícím stárnutím těchto vozů jejich tržní hodnota dále klesá. Naopak u vozidel s normou EURO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6 zůstává medián ceny i stáří dlouhodobě stabilní – přibližně na úrovni 550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000</w:t>
      </w:r>
      <w:r w:rsidRPr="003F0CCE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sz w:val="20"/>
          <w:szCs w:val="24"/>
        </w:rPr>
        <w:t>Kč a čtyř let.</w:t>
      </w:r>
    </w:p>
    <w:p w14:paraId="62C3403F" w14:textId="6F8EB046" w:rsidR="00515FAE" w:rsidRDefault="00515FAE" w:rsidP="00515FAE">
      <w:pPr>
        <w:pStyle w:val="Mezinadpis2"/>
      </w:pPr>
      <w:r w:rsidRPr="00515FAE">
        <w:t>EURO 7 přinese nové požadavky i sledování emisí z brzd a pneumatik</w:t>
      </w:r>
    </w:p>
    <w:p w14:paraId="763A5F07" w14:textId="06C58781" w:rsidR="003F0CCE" w:rsidRDefault="003F0CCE" w:rsidP="00000743">
      <w:pPr>
        <w:pStyle w:val="patikanadpis"/>
        <w:rPr>
          <w:rFonts w:eastAsiaTheme="minorHAnsi" w:cstheme="minorBidi"/>
          <w:b w:val="0"/>
          <w:bCs w:val="0"/>
          <w:color w:val="auto"/>
          <w:sz w:val="20"/>
          <w:szCs w:val="24"/>
        </w:rPr>
      </w:pP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>Emisní norma EURO</w:t>
      </w:r>
      <w:r w:rsidRPr="003F0CCE">
        <w:rPr>
          <w:rFonts w:ascii="Arial" w:eastAsiaTheme="minorHAnsi" w:hAnsi="Arial" w:cs="Arial"/>
          <w:b w:val="0"/>
          <w:bCs w:val="0"/>
          <w:color w:val="auto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>7, která byla</w:t>
      </w:r>
      <w:r w:rsidR="001D3FAA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</w:t>
      </w: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>schválena koncem roku 2023, přinese mírnější a realističtější požadavky oproti původním návrhům. Limity výfukových emisí zůstanou pro osobní a lehké užitkové vozy podobné jako u současné normy EURO</w:t>
      </w:r>
      <w:r w:rsidRPr="003F0CCE">
        <w:rPr>
          <w:rFonts w:ascii="Arial" w:eastAsiaTheme="minorHAnsi" w:hAnsi="Arial" w:cs="Arial"/>
          <w:b w:val="0"/>
          <w:bCs w:val="0"/>
          <w:color w:val="auto"/>
          <w:sz w:val="20"/>
          <w:szCs w:val="24"/>
        </w:rPr>
        <w:t> </w:t>
      </w: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6, nově však bude sledováno i množství částic vznikajících při brzdění a opotřebení pneumatik. </w:t>
      </w:r>
    </w:p>
    <w:p w14:paraId="18D6D091" w14:textId="7B4ED1D9" w:rsidR="003F0CCE" w:rsidRPr="0029354B" w:rsidRDefault="003F0CCE" w:rsidP="001223EF">
      <w:pPr>
        <w:pStyle w:val="patikanadpis"/>
        <w:rPr>
          <w:lang w:val="sk-SK"/>
        </w:rPr>
      </w:pP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Automobilový trh tak směřuje k čistším technologiím, což se odráží i v nabídce ojetých vozidel. </w:t>
      </w:r>
      <w:r w:rsidRPr="0029354B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„V našem případě tvoří vozy s emisní normou EURO</w:t>
      </w:r>
      <w:r w:rsidRPr="0029354B">
        <w:rPr>
          <w:rFonts w:ascii="Arial" w:eastAsiaTheme="minorHAnsi" w:hAnsi="Arial" w:cs="Arial"/>
          <w:b w:val="0"/>
          <w:bCs w:val="0"/>
          <w:i/>
          <w:iCs/>
          <w:color w:val="auto"/>
          <w:sz w:val="20"/>
          <w:szCs w:val="24"/>
        </w:rPr>
        <w:t> </w:t>
      </w:r>
      <w:r w:rsidRPr="0029354B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6 již téměř dvě třetiny všech inzerátů, u kterých je tato informace uvedena. To jasně ukazuje, jak rychle se mění struktura trhu a posouvá se směrem k ekologičtějším vozům</w:t>
      </w:r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,“ uzavírá </w:t>
      </w:r>
      <w:r w:rsidRPr="0029354B">
        <w:rPr>
          <w:rFonts w:eastAsiaTheme="minorHAnsi" w:cstheme="minorBidi"/>
          <w:color w:val="auto"/>
          <w:sz w:val="20"/>
          <w:szCs w:val="24"/>
        </w:rPr>
        <w:t xml:space="preserve">Marek </w:t>
      </w:r>
      <w:proofErr w:type="spellStart"/>
      <w:r w:rsidRPr="0029354B">
        <w:rPr>
          <w:rFonts w:eastAsiaTheme="minorHAnsi" w:cstheme="minorBidi"/>
          <w:color w:val="auto"/>
          <w:sz w:val="20"/>
          <w:szCs w:val="24"/>
        </w:rPr>
        <w:t>Knieža</w:t>
      </w:r>
      <w:proofErr w:type="spellEnd"/>
      <w:r w:rsidRPr="003F0CCE">
        <w:rPr>
          <w:rFonts w:eastAsiaTheme="minorHAnsi" w:cstheme="minorBidi"/>
          <w:b w:val="0"/>
          <w:bCs w:val="0"/>
          <w:color w:val="auto"/>
          <w:sz w:val="20"/>
          <w:szCs w:val="24"/>
        </w:rPr>
        <w:t>.</w:t>
      </w:r>
    </w:p>
    <w:p w14:paraId="78058D2B" w14:textId="5E3E5885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10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7777777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11"/>
      <w:footerReference w:type="default" r:id="rId12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C3C5" w14:textId="77777777" w:rsidR="00BD1DD2" w:rsidRPr="00950A92" w:rsidRDefault="00BD1DD2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652523C1" w14:textId="77777777" w:rsidR="00BD1DD2" w:rsidRPr="00950A92" w:rsidRDefault="00BD1DD2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1FF45ECC" w14:textId="77777777" w:rsidR="00BD1DD2" w:rsidRPr="00950A92" w:rsidRDefault="00BD1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C42F" w14:textId="77777777" w:rsidR="00BD1DD2" w:rsidRPr="00950A92" w:rsidRDefault="00BD1DD2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061E8A13" w14:textId="77777777" w:rsidR="00BD1DD2" w:rsidRPr="00950A92" w:rsidRDefault="00BD1DD2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0D15400B" w14:textId="77777777" w:rsidR="00BD1DD2" w:rsidRPr="00950A92" w:rsidRDefault="00BD1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6328"/>
    <w:rsid w:val="000B745A"/>
    <w:rsid w:val="000C4A6F"/>
    <w:rsid w:val="000C5F77"/>
    <w:rsid w:val="000C6812"/>
    <w:rsid w:val="000D1B54"/>
    <w:rsid w:val="000D6393"/>
    <w:rsid w:val="000E3770"/>
    <w:rsid w:val="000E4234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39DF"/>
    <w:rsid w:val="001960C2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69E1"/>
    <w:rsid w:val="001D00C8"/>
    <w:rsid w:val="001D149B"/>
    <w:rsid w:val="001D3FAA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50EE"/>
    <w:rsid w:val="002563D3"/>
    <w:rsid w:val="0026749C"/>
    <w:rsid w:val="00270CB9"/>
    <w:rsid w:val="00277407"/>
    <w:rsid w:val="00277623"/>
    <w:rsid w:val="002816F8"/>
    <w:rsid w:val="00282CA3"/>
    <w:rsid w:val="00282DFE"/>
    <w:rsid w:val="00283549"/>
    <w:rsid w:val="00287366"/>
    <w:rsid w:val="00290E4C"/>
    <w:rsid w:val="002910DA"/>
    <w:rsid w:val="00291BCC"/>
    <w:rsid w:val="0029354B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3277C"/>
    <w:rsid w:val="00334470"/>
    <w:rsid w:val="00342CC1"/>
    <w:rsid w:val="0035287B"/>
    <w:rsid w:val="00352E78"/>
    <w:rsid w:val="003538CD"/>
    <w:rsid w:val="00357DE9"/>
    <w:rsid w:val="00357F53"/>
    <w:rsid w:val="00362072"/>
    <w:rsid w:val="0036285C"/>
    <w:rsid w:val="003658A0"/>
    <w:rsid w:val="00372205"/>
    <w:rsid w:val="003768AB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3B89"/>
    <w:rsid w:val="003E54BD"/>
    <w:rsid w:val="003E7194"/>
    <w:rsid w:val="003E7D79"/>
    <w:rsid w:val="003F0CCE"/>
    <w:rsid w:val="003F7C93"/>
    <w:rsid w:val="00401A5C"/>
    <w:rsid w:val="004024AD"/>
    <w:rsid w:val="0041085D"/>
    <w:rsid w:val="00411CF9"/>
    <w:rsid w:val="00411D3B"/>
    <w:rsid w:val="00412442"/>
    <w:rsid w:val="00412873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5EEC"/>
    <w:rsid w:val="00477647"/>
    <w:rsid w:val="004823E0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2357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4ED4"/>
    <w:rsid w:val="004F5E8E"/>
    <w:rsid w:val="00500716"/>
    <w:rsid w:val="005009F8"/>
    <w:rsid w:val="00504405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56E30"/>
    <w:rsid w:val="005807A0"/>
    <w:rsid w:val="0058103D"/>
    <w:rsid w:val="00581B48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B718F"/>
    <w:rsid w:val="007B7D07"/>
    <w:rsid w:val="007C556B"/>
    <w:rsid w:val="007C5B93"/>
    <w:rsid w:val="007C6CC6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91E47"/>
    <w:rsid w:val="0089602C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37EF"/>
    <w:rsid w:val="00927066"/>
    <w:rsid w:val="00935CB2"/>
    <w:rsid w:val="00940747"/>
    <w:rsid w:val="009443AE"/>
    <w:rsid w:val="009445EC"/>
    <w:rsid w:val="00944655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2364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09B1"/>
    <w:rsid w:val="00A711B6"/>
    <w:rsid w:val="00A764EC"/>
    <w:rsid w:val="00A834EB"/>
    <w:rsid w:val="00A87385"/>
    <w:rsid w:val="00A977FB"/>
    <w:rsid w:val="00AA072C"/>
    <w:rsid w:val="00AA4683"/>
    <w:rsid w:val="00AA7B25"/>
    <w:rsid w:val="00AA7F7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105"/>
    <w:rsid w:val="00AD482F"/>
    <w:rsid w:val="00AE3594"/>
    <w:rsid w:val="00AE4788"/>
    <w:rsid w:val="00AE480C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56876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74E2"/>
    <w:rsid w:val="00BD153F"/>
    <w:rsid w:val="00BD1DD2"/>
    <w:rsid w:val="00BD45AF"/>
    <w:rsid w:val="00BD5264"/>
    <w:rsid w:val="00BE09C5"/>
    <w:rsid w:val="00BE17E5"/>
    <w:rsid w:val="00BE384F"/>
    <w:rsid w:val="00BF1A4A"/>
    <w:rsid w:val="00BF205F"/>
    <w:rsid w:val="00BF602A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0B8D"/>
    <w:rsid w:val="00C21FE1"/>
    <w:rsid w:val="00C2624D"/>
    <w:rsid w:val="00C37DF8"/>
    <w:rsid w:val="00C400DC"/>
    <w:rsid w:val="00C427B2"/>
    <w:rsid w:val="00C43ED5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054E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FAF"/>
    <w:rsid w:val="00E158B6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7627"/>
    <w:rsid w:val="00EB0C1D"/>
    <w:rsid w:val="00EB1CE4"/>
    <w:rsid w:val="00EB51CB"/>
    <w:rsid w:val="00EC11F8"/>
    <w:rsid w:val="00EC1591"/>
    <w:rsid w:val="00EC3076"/>
    <w:rsid w:val="00EC47D8"/>
    <w:rsid w:val="00EC6593"/>
    <w:rsid w:val="00ED0E17"/>
    <w:rsid w:val="00ED33A5"/>
    <w:rsid w:val="00ED59E2"/>
    <w:rsid w:val="00EE4C69"/>
    <w:rsid w:val="00EE7F46"/>
    <w:rsid w:val="00EF2668"/>
    <w:rsid w:val="00EF2D5E"/>
    <w:rsid w:val="00EF38DA"/>
    <w:rsid w:val="00EF5316"/>
    <w:rsid w:val="00EF6CF8"/>
    <w:rsid w:val="00EF76B9"/>
    <w:rsid w:val="00F02058"/>
    <w:rsid w:val="00F0538E"/>
    <w:rsid w:val="00F07123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539A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78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52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group.com/cs-cz/novinky/detail/emisni-normy-cesta-k-cistsi-budoucnos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vid.vedral@insighter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vens.com/en-lu/about-us/blog/sustainability/lez-restriction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925</Words>
  <Characters>5458</Characters>
  <Application>Microsoft Office Word</Application>
  <DocSecurity>4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2025-06-20T06:35:00Z</dcterms:created>
  <dcterms:modified xsi:type="dcterms:W3CDTF">2025-06-20T06:35:00Z</dcterms:modified>
</cp:coreProperties>
</file>